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11048" w:rsidTr="007B0AE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11048" w:rsidTr="007B0AE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11048" w:rsidTr="007B0AE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11048" w:rsidRPr="00B714A4" w:rsidRDefault="00B71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11048" w:rsidRPr="00B714A4" w:rsidRDefault="00B71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11048" w:rsidTr="007B0AE5">
        <w:trPr>
          <w:trHeight w:hRule="exact" w:val="986"/>
        </w:trPr>
        <w:tc>
          <w:tcPr>
            <w:tcW w:w="723" w:type="dxa"/>
          </w:tcPr>
          <w:p w:rsidR="00011048" w:rsidRDefault="0001104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 w:rsidTr="007B0AE5">
        <w:trPr>
          <w:trHeight w:hRule="exact" w:val="138"/>
        </w:trPr>
        <w:tc>
          <w:tcPr>
            <w:tcW w:w="723" w:type="dxa"/>
          </w:tcPr>
          <w:p w:rsidR="00011048" w:rsidRDefault="00011048"/>
        </w:tc>
        <w:tc>
          <w:tcPr>
            <w:tcW w:w="853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969" w:type="dxa"/>
          </w:tcPr>
          <w:p w:rsidR="00011048" w:rsidRDefault="00011048"/>
        </w:tc>
        <w:tc>
          <w:tcPr>
            <w:tcW w:w="16" w:type="dxa"/>
          </w:tcPr>
          <w:p w:rsidR="00011048" w:rsidRDefault="00011048"/>
        </w:tc>
        <w:tc>
          <w:tcPr>
            <w:tcW w:w="1556" w:type="dxa"/>
          </w:tcPr>
          <w:p w:rsidR="00011048" w:rsidRDefault="00011048"/>
        </w:tc>
        <w:tc>
          <w:tcPr>
            <w:tcW w:w="574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1289" w:type="dxa"/>
          </w:tcPr>
          <w:p w:rsidR="00011048" w:rsidRDefault="00011048"/>
        </w:tc>
        <w:tc>
          <w:tcPr>
            <w:tcW w:w="9" w:type="dxa"/>
          </w:tcPr>
          <w:p w:rsidR="00011048" w:rsidRDefault="00011048"/>
        </w:tc>
        <w:tc>
          <w:tcPr>
            <w:tcW w:w="1695" w:type="dxa"/>
          </w:tcPr>
          <w:p w:rsidR="00011048" w:rsidRDefault="00011048"/>
        </w:tc>
        <w:tc>
          <w:tcPr>
            <w:tcW w:w="722" w:type="dxa"/>
          </w:tcPr>
          <w:p w:rsidR="00011048" w:rsidRDefault="00011048"/>
        </w:tc>
        <w:tc>
          <w:tcPr>
            <w:tcW w:w="141" w:type="dxa"/>
          </w:tcPr>
          <w:p w:rsidR="00011048" w:rsidRDefault="00011048"/>
        </w:tc>
      </w:tr>
      <w:tr w:rsidR="00011048" w:rsidRPr="007B0AE5" w:rsidTr="007B0AE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11048" w:rsidRPr="007B0AE5" w:rsidTr="007B0A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11048" w:rsidRPr="007B0AE5" w:rsidTr="007B0AE5">
        <w:trPr>
          <w:trHeight w:hRule="exact" w:val="416"/>
        </w:trPr>
        <w:tc>
          <w:tcPr>
            <w:tcW w:w="72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7B0AE5" w:rsidTr="007B0AE5">
        <w:trPr>
          <w:trHeight w:hRule="exact" w:val="277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0AE5" w:rsidTr="007B0AE5">
        <w:trPr>
          <w:trHeight w:hRule="exact" w:val="183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 w:rsidP="00BB669D"/>
        </w:tc>
        <w:tc>
          <w:tcPr>
            <w:tcW w:w="426" w:type="dxa"/>
          </w:tcPr>
          <w:p w:rsidR="007B0AE5" w:rsidRDefault="007B0AE5" w:rsidP="00BB669D"/>
        </w:tc>
        <w:tc>
          <w:tcPr>
            <w:tcW w:w="1289" w:type="dxa"/>
          </w:tcPr>
          <w:p w:rsidR="007B0AE5" w:rsidRDefault="007B0AE5" w:rsidP="00BB669D"/>
        </w:tc>
        <w:tc>
          <w:tcPr>
            <w:tcW w:w="9" w:type="dxa"/>
          </w:tcPr>
          <w:p w:rsidR="007B0AE5" w:rsidRDefault="007B0AE5" w:rsidP="00BB669D"/>
        </w:tc>
        <w:tc>
          <w:tcPr>
            <w:tcW w:w="1695" w:type="dxa"/>
          </w:tcPr>
          <w:p w:rsidR="007B0AE5" w:rsidRDefault="007B0AE5" w:rsidP="00BB669D"/>
        </w:tc>
        <w:tc>
          <w:tcPr>
            <w:tcW w:w="722" w:type="dxa"/>
          </w:tcPr>
          <w:p w:rsidR="007B0AE5" w:rsidRDefault="007B0AE5" w:rsidP="00BB669D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277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B0AE5" w:rsidRDefault="007B0AE5" w:rsidP="00BB669D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83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 w:rsidP="00BB669D"/>
        </w:tc>
        <w:tc>
          <w:tcPr>
            <w:tcW w:w="426" w:type="dxa"/>
          </w:tcPr>
          <w:p w:rsidR="007B0AE5" w:rsidRDefault="007B0AE5" w:rsidP="00BB669D"/>
        </w:tc>
        <w:tc>
          <w:tcPr>
            <w:tcW w:w="1289" w:type="dxa"/>
          </w:tcPr>
          <w:p w:rsidR="007B0AE5" w:rsidRDefault="007B0AE5" w:rsidP="00BB669D"/>
        </w:tc>
        <w:tc>
          <w:tcPr>
            <w:tcW w:w="9" w:type="dxa"/>
          </w:tcPr>
          <w:p w:rsidR="007B0AE5" w:rsidRDefault="007B0AE5" w:rsidP="00BB669D"/>
        </w:tc>
        <w:tc>
          <w:tcPr>
            <w:tcW w:w="1695" w:type="dxa"/>
          </w:tcPr>
          <w:p w:rsidR="007B0AE5" w:rsidRDefault="007B0AE5" w:rsidP="00BB669D"/>
        </w:tc>
        <w:tc>
          <w:tcPr>
            <w:tcW w:w="722" w:type="dxa"/>
          </w:tcPr>
          <w:p w:rsidR="007B0AE5" w:rsidRDefault="007B0AE5" w:rsidP="00BB669D"/>
        </w:tc>
        <w:tc>
          <w:tcPr>
            <w:tcW w:w="141" w:type="dxa"/>
          </w:tcPr>
          <w:p w:rsidR="007B0AE5" w:rsidRDefault="007B0AE5"/>
        </w:tc>
      </w:tr>
      <w:tr w:rsidR="007B0AE5" w:rsidRPr="007B0AE5" w:rsidTr="007B0AE5">
        <w:trPr>
          <w:trHeight w:hRule="exact" w:val="694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B0AE5" w:rsidRPr="00326F06" w:rsidRDefault="007B0AE5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B0AE5" w:rsidRPr="007B0AE5" w:rsidTr="007B0AE5">
        <w:trPr>
          <w:trHeight w:hRule="exact" w:val="11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AE5" w:rsidRPr="00326F06" w:rsidRDefault="007B0AE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Tr="007B0AE5">
        <w:trPr>
          <w:trHeight w:hRule="exact" w:val="74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B0AE5" w:rsidRDefault="007B0AE5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B0AE5" w:rsidRDefault="007B0AE5" w:rsidP="00BB669D"/>
        </w:tc>
        <w:tc>
          <w:tcPr>
            <w:tcW w:w="1695" w:type="dxa"/>
          </w:tcPr>
          <w:p w:rsidR="007B0AE5" w:rsidRDefault="007B0AE5" w:rsidP="00BB669D"/>
        </w:tc>
        <w:tc>
          <w:tcPr>
            <w:tcW w:w="722" w:type="dxa"/>
          </w:tcPr>
          <w:p w:rsidR="007B0AE5" w:rsidRDefault="007B0AE5" w:rsidP="00BB669D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555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/>
        </w:tc>
      </w:tr>
      <w:tr w:rsidR="007B0AE5" w:rsidTr="007B0AE5">
        <w:trPr>
          <w:trHeight w:hRule="exact" w:val="447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33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B0AE5" w:rsidRDefault="007B0AE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244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605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B0AE5" w:rsidTr="007B0AE5">
        <w:trPr>
          <w:trHeight w:hRule="exact" w:val="138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  <w:proofErr w:type="spellEnd"/>
          </w:p>
        </w:tc>
      </w:tr>
      <w:tr w:rsidR="007B0AE5" w:rsidTr="007B0AE5">
        <w:trPr>
          <w:trHeight w:hRule="exact" w:val="138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/>
        </w:tc>
      </w:tr>
      <w:tr w:rsidR="007B0AE5" w:rsidTr="007B0AE5">
        <w:trPr>
          <w:trHeight w:hRule="exact" w:val="108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Tr="007B0AE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B0AE5" w:rsidTr="007B0AE5">
        <w:trPr>
          <w:trHeight w:hRule="exact" w:val="229"/>
        </w:trPr>
        <w:tc>
          <w:tcPr>
            <w:tcW w:w="723" w:type="dxa"/>
          </w:tcPr>
          <w:p w:rsidR="007B0AE5" w:rsidRDefault="007B0AE5"/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RPr="007B0AE5" w:rsidTr="007B0AE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0AE5" w:rsidRPr="00B714A4" w:rsidRDefault="007B0A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7B0AE5" w:rsidRPr="007B0AE5" w:rsidTr="007B0AE5">
        <w:trPr>
          <w:trHeight w:hRule="exact" w:val="36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RPr="007B0AE5" w:rsidTr="007B0AE5">
        <w:trPr>
          <w:trHeight w:hRule="exact" w:val="446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RPr="007B0AE5" w:rsidTr="008A450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Pr="00E72244" w:rsidRDefault="007B0AE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B0AE5" w:rsidRPr="007B0AE5" w:rsidTr="007B0AE5">
        <w:trPr>
          <w:trHeight w:hRule="exact" w:val="432"/>
        </w:trPr>
        <w:tc>
          <w:tcPr>
            <w:tcW w:w="723" w:type="dxa"/>
          </w:tcPr>
          <w:p w:rsidR="007B0AE5" w:rsidRPr="00E72244" w:rsidRDefault="007B0AE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Tr="007B0A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Pr="00E72244" w:rsidRDefault="007B0AE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B0AE5" w:rsidTr="007B0AE5">
        <w:trPr>
          <w:trHeight w:hRule="exact" w:val="152"/>
        </w:trPr>
        <w:tc>
          <w:tcPr>
            <w:tcW w:w="723" w:type="dxa"/>
          </w:tcPr>
          <w:p w:rsidR="007B0AE5" w:rsidRPr="00E72244" w:rsidRDefault="007B0AE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B0AE5" w:rsidRDefault="007B0AE5"/>
        </w:tc>
        <w:tc>
          <w:tcPr>
            <w:tcW w:w="284" w:type="dxa"/>
          </w:tcPr>
          <w:p w:rsidR="007B0AE5" w:rsidRDefault="007B0AE5"/>
        </w:tc>
        <w:tc>
          <w:tcPr>
            <w:tcW w:w="1969" w:type="dxa"/>
          </w:tcPr>
          <w:p w:rsidR="007B0AE5" w:rsidRDefault="007B0AE5"/>
        </w:tc>
        <w:tc>
          <w:tcPr>
            <w:tcW w:w="16" w:type="dxa"/>
          </w:tcPr>
          <w:p w:rsidR="007B0AE5" w:rsidRDefault="007B0AE5"/>
        </w:tc>
        <w:tc>
          <w:tcPr>
            <w:tcW w:w="1556" w:type="dxa"/>
          </w:tcPr>
          <w:p w:rsidR="007B0AE5" w:rsidRDefault="007B0AE5"/>
        </w:tc>
        <w:tc>
          <w:tcPr>
            <w:tcW w:w="574" w:type="dxa"/>
          </w:tcPr>
          <w:p w:rsidR="007B0AE5" w:rsidRDefault="007B0AE5"/>
        </w:tc>
        <w:tc>
          <w:tcPr>
            <w:tcW w:w="426" w:type="dxa"/>
          </w:tcPr>
          <w:p w:rsidR="007B0AE5" w:rsidRDefault="007B0AE5"/>
        </w:tc>
        <w:tc>
          <w:tcPr>
            <w:tcW w:w="1289" w:type="dxa"/>
          </w:tcPr>
          <w:p w:rsidR="007B0AE5" w:rsidRDefault="007B0AE5"/>
        </w:tc>
        <w:tc>
          <w:tcPr>
            <w:tcW w:w="9" w:type="dxa"/>
          </w:tcPr>
          <w:p w:rsidR="007B0AE5" w:rsidRDefault="007B0AE5"/>
        </w:tc>
        <w:tc>
          <w:tcPr>
            <w:tcW w:w="1695" w:type="dxa"/>
          </w:tcPr>
          <w:p w:rsidR="007B0AE5" w:rsidRDefault="007B0AE5"/>
        </w:tc>
        <w:tc>
          <w:tcPr>
            <w:tcW w:w="722" w:type="dxa"/>
          </w:tcPr>
          <w:p w:rsidR="007B0AE5" w:rsidRDefault="007B0AE5"/>
        </w:tc>
        <w:tc>
          <w:tcPr>
            <w:tcW w:w="141" w:type="dxa"/>
          </w:tcPr>
          <w:p w:rsidR="007B0AE5" w:rsidRDefault="007B0AE5"/>
        </w:tc>
      </w:tr>
      <w:tr w:rsidR="007B0AE5" w:rsidRPr="007B0AE5" w:rsidTr="00FA746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Pr="00E72244" w:rsidRDefault="007B0AE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B0AE5" w:rsidRPr="00E72244" w:rsidRDefault="007B0AE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AE5" w:rsidRPr="007B0AE5" w:rsidTr="007B0AE5">
        <w:trPr>
          <w:trHeight w:hRule="exact" w:val="45"/>
        </w:trPr>
        <w:tc>
          <w:tcPr>
            <w:tcW w:w="723" w:type="dxa"/>
          </w:tcPr>
          <w:p w:rsidR="007B0AE5" w:rsidRPr="00E72244" w:rsidRDefault="007B0AE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RPr="007B0AE5" w:rsidTr="007B0AE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Pr="00E72244" w:rsidRDefault="007B0AE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B0AE5" w:rsidRPr="007B0AE5" w:rsidTr="007B0AE5">
        <w:trPr>
          <w:trHeight w:hRule="exact" w:val="2497"/>
        </w:trPr>
        <w:tc>
          <w:tcPr>
            <w:tcW w:w="72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B0AE5" w:rsidRPr="00B714A4" w:rsidRDefault="007B0AE5">
            <w:pPr>
              <w:rPr>
                <w:lang w:val="ru-RU"/>
              </w:rPr>
            </w:pPr>
          </w:p>
        </w:tc>
      </w:tr>
      <w:tr w:rsidR="007B0AE5" w:rsidTr="007B0AE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B0AE5" w:rsidRDefault="007B0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B0AE5" w:rsidRDefault="007B0A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11048" w:rsidRDefault="00B71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1104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Default="0001104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11048">
        <w:trPr>
          <w:trHeight w:hRule="exact" w:val="402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Default="00011048"/>
        </w:tc>
      </w:tr>
      <w:tr w:rsidR="00011048">
        <w:trPr>
          <w:trHeight w:hRule="exact" w:val="13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Default="00011048"/>
        </w:tc>
      </w:tr>
      <w:tr w:rsidR="00011048">
        <w:trPr>
          <w:trHeight w:hRule="exact" w:val="96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694"/>
        </w:trPr>
        <w:tc>
          <w:tcPr>
            <w:tcW w:w="2694" w:type="dxa"/>
          </w:tcPr>
          <w:p w:rsidR="00011048" w:rsidRDefault="00011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3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96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694"/>
        </w:trPr>
        <w:tc>
          <w:tcPr>
            <w:tcW w:w="2694" w:type="dxa"/>
          </w:tcPr>
          <w:p w:rsidR="00011048" w:rsidRDefault="00011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3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96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694"/>
        </w:trPr>
        <w:tc>
          <w:tcPr>
            <w:tcW w:w="2694" w:type="dxa"/>
          </w:tcPr>
          <w:p w:rsidR="00011048" w:rsidRDefault="00011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3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96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11048" w:rsidRPr="007B0AE5">
        <w:trPr>
          <w:trHeight w:hRule="exact" w:val="138"/>
        </w:trPr>
        <w:tc>
          <w:tcPr>
            <w:tcW w:w="269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11048">
        <w:trPr>
          <w:trHeight w:hRule="exact" w:val="138"/>
        </w:trPr>
        <w:tc>
          <w:tcPr>
            <w:tcW w:w="2694" w:type="dxa"/>
          </w:tcPr>
          <w:p w:rsidR="00011048" w:rsidRDefault="00011048"/>
        </w:tc>
        <w:tc>
          <w:tcPr>
            <w:tcW w:w="7088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694"/>
        </w:trPr>
        <w:tc>
          <w:tcPr>
            <w:tcW w:w="2694" w:type="dxa"/>
          </w:tcPr>
          <w:p w:rsidR="00011048" w:rsidRDefault="00011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11048" w:rsidRPr="00B714A4" w:rsidRDefault="00B714A4">
      <w:pPr>
        <w:rPr>
          <w:sz w:val="0"/>
          <w:szCs w:val="0"/>
          <w:lang w:val="ru-RU"/>
        </w:rPr>
      </w:pPr>
      <w:r w:rsidRPr="00B71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11048">
        <w:trPr>
          <w:trHeight w:hRule="exact" w:val="277"/>
        </w:trPr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11048">
        <w:trPr>
          <w:trHeight w:hRule="exact" w:val="277"/>
        </w:trPr>
        <w:tc>
          <w:tcPr>
            <w:tcW w:w="284" w:type="dxa"/>
          </w:tcPr>
          <w:p w:rsidR="00011048" w:rsidRDefault="00011048"/>
        </w:tc>
        <w:tc>
          <w:tcPr>
            <w:tcW w:w="1277" w:type="dxa"/>
          </w:tcPr>
          <w:p w:rsidR="00011048" w:rsidRDefault="00011048"/>
        </w:tc>
        <w:tc>
          <w:tcPr>
            <w:tcW w:w="472" w:type="dxa"/>
          </w:tcPr>
          <w:p w:rsidR="00011048" w:rsidRDefault="00011048"/>
        </w:tc>
        <w:tc>
          <w:tcPr>
            <w:tcW w:w="238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  <w:tc>
          <w:tcPr>
            <w:tcW w:w="93" w:type="dxa"/>
          </w:tcPr>
          <w:p w:rsidR="00011048" w:rsidRDefault="00011048"/>
        </w:tc>
        <w:tc>
          <w:tcPr>
            <w:tcW w:w="192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109" w:type="dxa"/>
          </w:tcPr>
          <w:p w:rsidR="00011048" w:rsidRDefault="00011048"/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011048" w:rsidRPr="007B0AE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110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138"/>
        </w:trPr>
        <w:tc>
          <w:tcPr>
            <w:tcW w:w="284" w:type="dxa"/>
          </w:tcPr>
          <w:p w:rsidR="00011048" w:rsidRDefault="00011048"/>
        </w:tc>
        <w:tc>
          <w:tcPr>
            <w:tcW w:w="1277" w:type="dxa"/>
          </w:tcPr>
          <w:p w:rsidR="00011048" w:rsidRDefault="00011048"/>
        </w:tc>
        <w:tc>
          <w:tcPr>
            <w:tcW w:w="472" w:type="dxa"/>
          </w:tcPr>
          <w:p w:rsidR="00011048" w:rsidRDefault="00011048"/>
        </w:tc>
        <w:tc>
          <w:tcPr>
            <w:tcW w:w="238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  <w:tc>
          <w:tcPr>
            <w:tcW w:w="93" w:type="dxa"/>
          </w:tcPr>
          <w:p w:rsidR="00011048" w:rsidRDefault="00011048"/>
        </w:tc>
        <w:tc>
          <w:tcPr>
            <w:tcW w:w="192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109" w:type="dxa"/>
          </w:tcPr>
          <w:p w:rsidR="00011048" w:rsidRDefault="00011048"/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284" w:type="dxa"/>
          </w:tcPr>
          <w:p w:rsidR="00011048" w:rsidRDefault="00011048"/>
        </w:tc>
        <w:tc>
          <w:tcPr>
            <w:tcW w:w="1277" w:type="dxa"/>
          </w:tcPr>
          <w:p w:rsidR="00011048" w:rsidRDefault="00011048"/>
        </w:tc>
        <w:tc>
          <w:tcPr>
            <w:tcW w:w="472" w:type="dxa"/>
          </w:tcPr>
          <w:p w:rsidR="00011048" w:rsidRDefault="00011048"/>
        </w:tc>
        <w:tc>
          <w:tcPr>
            <w:tcW w:w="238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  <w:tc>
          <w:tcPr>
            <w:tcW w:w="93" w:type="dxa"/>
          </w:tcPr>
          <w:p w:rsidR="00011048" w:rsidRDefault="00011048"/>
        </w:tc>
        <w:tc>
          <w:tcPr>
            <w:tcW w:w="192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109" w:type="dxa"/>
          </w:tcPr>
          <w:p w:rsidR="00011048" w:rsidRDefault="00011048"/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 w:rsidRPr="007B0AE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38"/>
        </w:trPr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11048" w:rsidRDefault="0001104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11048" w:rsidRDefault="0001104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11048" w:rsidRDefault="00011048"/>
        </w:tc>
      </w:tr>
      <w:tr w:rsidR="00011048" w:rsidRPr="007B0AE5">
        <w:trPr>
          <w:trHeight w:hRule="exact" w:val="277"/>
        </w:trPr>
        <w:tc>
          <w:tcPr>
            <w:tcW w:w="284" w:type="dxa"/>
          </w:tcPr>
          <w:p w:rsidR="00011048" w:rsidRDefault="0001104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277"/>
        </w:trPr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011048" w:rsidRDefault="00011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284" w:type="dxa"/>
          </w:tcPr>
          <w:p w:rsidR="00011048" w:rsidRDefault="000110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011048" w:rsidRDefault="00011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284" w:type="dxa"/>
          </w:tcPr>
          <w:p w:rsidR="00011048" w:rsidRDefault="000110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11048" w:rsidRDefault="00011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 w:rsidRPr="007B0AE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011048"/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284" w:type="dxa"/>
          </w:tcPr>
          <w:p w:rsidR="00011048" w:rsidRDefault="00011048"/>
        </w:tc>
        <w:tc>
          <w:tcPr>
            <w:tcW w:w="143" w:type="dxa"/>
          </w:tcPr>
          <w:p w:rsidR="00011048" w:rsidRDefault="00011048"/>
        </w:tc>
      </w:tr>
    </w:tbl>
    <w:p w:rsidR="00011048" w:rsidRDefault="00B71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011048">
        <w:trPr>
          <w:trHeight w:hRule="exact" w:val="416"/>
        </w:trPr>
        <w:tc>
          <w:tcPr>
            <w:tcW w:w="766" w:type="dxa"/>
          </w:tcPr>
          <w:p w:rsidR="00011048" w:rsidRDefault="00011048"/>
        </w:tc>
        <w:tc>
          <w:tcPr>
            <w:tcW w:w="937" w:type="dxa"/>
          </w:tcPr>
          <w:p w:rsidR="00011048" w:rsidRDefault="00011048"/>
        </w:tc>
        <w:tc>
          <w:tcPr>
            <w:tcW w:w="8081" w:type="dxa"/>
          </w:tcPr>
          <w:p w:rsidR="00011048" w:rsidRDefault="00011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1104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и право: понятия, признаки, функции; норма права; источники права; система права; правоотношение; правонарушение; юридическая ответственность.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конституционного права РФ. Основы административного права. Основы гражданского права. Основы трудового права. Основы семейного права. Основы экологического права. Основы информационного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11048">
        <w:trPr>
          <w:trHeight w:hRule="exact" w:val="277"/>
        </w:trPr>
        <w:tc>
          <w:tcPr>
            <w:tcW w:w="766" w:type="dxa"/>
          </w:tcPr>
          <w:p w:rsidR="00011048" w:rsidRDefault="00011048"/>
        </w:tc>
        <w:tc>
          <w:tcPr>
            <w:tcW w:w="937" w:type="dxa"/>
          </w:tcPr>
          <w:p w:rsidR="00011048" w:rsidRDefault="00011048"/>
        </w:tc>
        <w:tc>
          <w:tcPr>
            <w:tcW w:w="8081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1104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011048" w:rsidRPr="007B0AE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11048" w:rsidRPr="007B0A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011048" w:rsidRPr="007B0A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11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0110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011048">
        <w:trPr>
          <w:trHeight w:hRule="exact" w:val="189"/>
        </w:trPr>
        <w:tc>
          <w:tcPr>
            <w:tcW w:w="766" w:type="dxa"/>
          </w:tcPr>
          <w:p w:rsidR="00011048" w:rsidRDefault="00011048"/>
        </w:tc>
        <w:tc>
          <w:tcPr>
            <w:tcW w:w="937" w:type="dxa"/>
          </w:tcPr>
          <w:p w:rsidR="00011048" w:rsidRDefault="00011048"/>
        </w:tc>
        <w:tc>
          <w:tcPr>
            <w:tcW w:w="8081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11048" w:rsidRPr="007B0AE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011048" w:rsidRPr="007B0AE5">
        <w:trPr>
          <w:trHeight w:hRule="exact" w:val="138"/>
        </w:trPr>
        <w:tc>
          <w:tcPr>
            <w:tcW w:w="76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011048" w:rsidRPr="007B0AE5">
        <w:trPr>
          <w:trHeight w:hRule="exact" w:val="138"/>
        </w:trPr>
        <w:tc>
          <w:tcPr>
            <w:tcW w:w="76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коррупции.</w:t>
            </w:r>
          </w:p>
        </w:tc>
      </w:tr>
    </w:tbl>
    <w:p w:rsidR="00011048" w:rsidRPr="00B714A4" w:rsidRDefault="00B714A4">
      <w:pPr>
        <w:rPr>
          <w:sz w:val="0"/>
          <w:szCs w:val="0"/>
          <w:lang w:val="ru-RU"/>
        </w:rPr>
      </w:pPr>
      <w:r w:rsidRPr="00B71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252"/>
        <w:gridCol w:w="1576"/>
        <w:gridCol w:w="1605"/>
        <w:gridCol w:w="963"/>
        <w:gridCol w:w="695"/>
        <w:gridCol w:w="1114"/>
        <w:gridCol w:w="710"/>
        <w:gridCol w:w="540"/>
        <w:gridCol w:w="682"/>
        <w:gridCol w:w="404"/>
        <w:gridCol w:w="992"/>
      </w:tblGrid>
      <w:tr w:rsidR="00011048">
        <w:trPr>
          <w:trHeight w:hRule="exact" w:val="416"/>
        </w:trPr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1048" w:rsidRPr="007B0AE5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1104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11048">
        <w:trPr>
          <w:trHeight w:hRule="exact" w:val="14"/>
        </w:trPr>
        <w:tc>
          <w:tcPr>
            <w:tcW w:w="710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1702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113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теория права. Конституционное право РФ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административного и трудового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011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 /</w:t>
            </w:r>
            <w:proofErr w:type="spellStart"/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11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 УК-11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</w:tr>
      <w:tr w:rsidR="00011048">
        <w:trPr>
          <w:trHeight w:hRule="exact" w:val="277"/>
        </w:trPr>
        <w:tc>
          <w:tcPr>
            <w:tcW w:w="710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1702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113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11048">
        <w:trPr>
          <w:trHeight w:hRule="exact" w:val="277"/>
        </w:trPr>
        <w:tc>
          <w:tcPr>
            <w:tcW w:w="710" w:type="dxa"/>
          </w:tcPr>
          <w:p w:rsidR="00011048" w:rsidRDefault="00011048"/>
        </w:tc>
        <w:tc>
          <w:tcPr>
            <w:tcW w:w="285" w:type="dxa"/>
          </w:tcPr>
          <w:p w:rsidR="00011048" w:rsidRDefault="00011048"/>
        </w:tc>
        <w:tc>
          <w:tcPr>
            <w:tcW w:w="1702" w:type="dxa"/>
          </w:tcPr>
          <w:p w:rsidR="00011048" w:rsidRDefault="00011048"/>
        </w:tc>
        <w:tc>
          <w:tcPr>
            <w:tcW w:w="1844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1135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568" w:type="dxa"/>
          </w:tcPr>
          <w:p w:rsidR="00011048" w:rsidRDefault="00011048"/>
        </w:tc>
        <w:tc>
          <w:tcPr>
            <w:tcW w:w="710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993" w:type="dxa"/>
          </w:tcPr>
          <w:p w:rsidR="00011048" w:rsidRDefault="00011048"/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011048" w:rsidRDefault="00B71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6"/>
        <w:gridCol w:w="420"/>
        <w:gridCol w:w="1519"/>
        <w:gridCol w:w="2240"/>
        <w:gridCol w:w="2688"/>
        <w:gridCol w:w="1679"/>
        <w:gridCol w:w="991"/>
      </w:tblGrid>
      <w:tr w:rsidR="00011048">
        <w:trPr>
          <w:trHeight w:hRule="exact" w:val="416"/>
        </w:trPr>
        <w:tc>
          <w:tcPr>
            <w:tcW w:w="436" w:type="dxa"/>
          </w:tcPr>
          <w:p w:rsidR="00011048" w:rsidRDefault="00011048"/>
        </w:tc>
        <w:tc>
          <w:tcPr>
            <w:tcW w:w="275" w:type="dxa"/>
          </w:tcPr>
          <w:p w:rsidR="00011048" w:rsidRDefault="00011048"/>
        </w:tc>
        <w:tc>
          <w:tcPr>
            <w:tcW w:w="426" w:type="dxa"/>
          </w:tcPr>
          <w:p w:rsidR="00011048" w:rsidRDefault="00011048"/>
        </w:tc>
        <w:tc>
          <w:tcPr>
            <w:tcW w:w="1560" w:type="dxa"/>
          </w:tcPr>
          <w:p w:rsidR="00011048" w:rsidRDefault="00011048"/>
        </w:tc>
        <w:tc>
          <w:tcPr>
            <w:tcW w:w="2411" w:type="dxa"/>
          </w:tcPr>
          <w:p w:rsidR="00011048" w:rsidRDefault="00011048"/>
        </w:tc>
        <w:tc>
          <w:tcPr>
            <w:tcW w:w="2978" w:type="dxa"/>
          </w:tcPr>
          <w:p w:rsidR="00011048" w:rsidRDefault="00011048"/>
        </w:tc>
        <w:tc>
          <w:tcPr>
            <w:tcW w:w="1702" w:type="dxa"/>
          </w:tcPr>
          <w:p w:rsidR="00011048" w:rsidRDefault="00011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11048" w:rsidRPr="007B0AE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011048" w:rsidRPr="007B0A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011048" w:rsidRPr="007B0AE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110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1104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Кононец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2017,</w:t>
            </w:r>
          </w:p>
        </w:tc>
      </w:tr>
      <w:tr w:rsidR="00011048" w:rsidRPr="007B0AE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011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011048" w:rsidRPr="007B0AE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11048" w:rsidRPr="007B0AE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11048" w:rsidRPr="007B0AE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11048" w:rsidRPr="007B0AE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11048" w:rsidRPr="007B0AE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1104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1104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1104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11048" w:rsidRPr="007B0AE5">
        <w:trPr>
          <w:trHeight w:hRule="exact" w:val="145"/>
        </w:trPr>
        <w:tc>
          <w:tcPr>
            <w:tcW w:w="43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1104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11048" w:rsidRPr="007B0AE5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011048" w:rsidRPr="007B0AE5">
        <w:trPr>
          <w:trHeight w:hRule="exact" w:val="51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011048" w:rsidRPr="00B714A4" w:rsidRDefault="00B714A4">
      <w:pPr>
        <w:rPr>
          <w:sz w:val="0"/>
          <w:szCs w:val="0"/>
          <w:lang w:val="ru-RU"/>
        </w:rPr>
      </w:pPr>
      <w:r w:rsidRPr="00B71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011048">
        <w:trPr>
          <w:trHeight w:hRule="exact" w:val="416"/>
        </w:trPr>
        <w:tc>
          <w:tcPr>
            <w:tcW w:w="113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104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B714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11048" w:rsidRPr="007B0AE5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Default="0001104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277"/>
        </w:trPr>
        <w:tc>
          <w:tcPr>
            <w:tcW w:w="1135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1048" w:rsidRPr="00B714A4" w:rsidRDefault="00011048">
            <w:pPr>
              <w:rPr>
                <w:lang w:val="ru-RU"/>
              </w:rPr>
            </w:pPr>
          </w:p>
        </w:tc>
      </w:tr>
      <w:tr w:rsidR="00011048" w:rsidRPr="007B0A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1048" w:rsidRPr="00B714A4" w:rsidRDefault="00B714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14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11048" w:rsidRPr="007B0AE5">
        <w:trPr>
          <w:trHeight w:hRule="exact" w:val="421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должно  обязательно сопровождаться ответами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 контрольную работу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своего варианта.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11048" w:rsidRPr="00B714A4" w:rsidRDefault="00B714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4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714A4" w:rsidRPr="00B714A4" w:rsidRDefault="00B714A4">
      <w:pPr>
        <w:rPr>
          <w:lang w:val="ru-RU"/>
        </w:rPr>
      </w:pPr>
      <w:r w:rsidRPr="00B714A4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B714A4" w:rsidTr="00B714A4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4A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714A4" w:rsidTr="00B714A4">
        <w:trPr>
          <w:trHeight w:hRule="exact" w:val="277"/>
        </w:trPr>
        <w:tc>
          <w:tcPr>
            <w:tcW w:w="867" w:type="pct"/>
            <w:gridSpan w:val="2"/>
          </w:tcPr>
          <w:p w:rsidR="00B714A4" w:rsidRPr="000B6640" w:rsidRDefault="00B714A4" w:rsidP="00D436FA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B714A4" w:rsidRPr="000B6640" w:rsidRDefault="00B714A4" w:rsidP="00D436FA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B714A4" w:rsidRPr="000B6640" w:rsidRDefault="00B714A4" w:rsidP="00D436FA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B714A4" w:rsidRPr="000B6640" w:rsidRDefault="00B714A4" w:rsidP="00D436FA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B714A4" w:rsidRDefault="00B714A4" w:rsidP="00D436FA"/>
        </w:tc>
        <w:tc>
          <w:tcPr>
            <w:tcW w:w="1057" w:type="pct"/>
            <w:gridSpan w:val="2"/>
          </w:tcPr>
          <w:p w:rsidR="00B714A4" w:rsidRDefault="00B714A4" w:rsidP="00D436FA"/>
        </w:tc>
        <w:tc>
          <w:tcPr>
            <w:tcW w:w="1074" w:type="pct"/>
            <w:gridSpan w:val="2"/>
          </w:tcPr>
          <w:p w:rsidR="00B714A4" w:rsidRDefault="00B714A4" w:rsidP="00D436FA"/>
        </w:tc>
      </w:tr>
      <w:tr w:rsidR="00B714A4" w:rsidRPr="001D2C9A" w:rsidTr="00B714A4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F46ECF" w:rsidRDefault="00B714A4" w:rsidP="00D436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CA1634" w:rsidRDefault="00B714A4" w:rsidP="00D436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714A4" w:rsidRPr="007B0AE5" w:rsidTr="00B714A4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4A4" w:rsidRPr="00565585" w:rsidRDefault="00B714A4" w:rsidP="00D436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B714A4" w:rsidTr="00B714A4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4A4" w:rsidRPr="00565585" w:rsidRDefault="00B714A4" w:rsidP="00D436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565585" w:rsidRDefault="00B714A4" w:rsidP="00D436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равоведение</w:t>
            </w:r>
            <w:proofErr w:type="spellEnd"/>
          </w:p>
        </w:tc>
      </w:tr>
      <w:tr w:rsidR="00B714A4" w:rsidTr="00B714A4">
        <w:trPr>
          <w:trHeight w:hRule="exact" w:val="453"/>
        </w:trPr>
        <w:tc>
          <w:tcPr>
            <w:tcW w:w="867" w:type="pct"/>
            <w:gridSpan w:val="2"/>
          </w:tcPr>
          <w:p w:rsidR="00B714A4" w:rsidRPr="00565585" w:rsidRDefault="00B714A4" w:rsidP="00D436FA"/>
        </w:tc>
        <w:tc>
          <w:tcPr>
            <w:tcW w:w="800" w:type="pct"/>
          </w:tcPr>
          <w:p w:rsidR="00B714A4" w:rsidRPr="00565585" w:rsidRDefault="00B714A4" w:rsidP="00D436FA"/>
        </w:tc>
        <w:tc>
          <w:tcPr>
            <w:tcW w:w="202" w:type="pct"/>
          </w:tcPr>
          <w:p w:rsidR="00B714A4" w:rsidRPr="00565585" w:rsidRDefault="00B714A4" w:rsidP="00D436FA"/>
        </w:tc>
        <w:tc>
          <w:tcPr>
            <w:tcW w:w="732" w:type="pct"/>
            <w:gridSpan w:val="2"/>
          </w:tcPr>
          <w:p w:rsidR="00B714A4" w:rsidRPr="000B6640" w:rsidRDefault="00B714A4" w:rsidP="00D436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B714A4" w:rsidRDefault="00B714A4" w:rsidP="00D436FA"/>
        </w:tc>
        <w:tc>
          <w:tcPr>
            <w:tcW w:w="1057" w:type="pct"/>
            <w:gridSpan w:val="2"/>
          </w:tcPr>
          <w:p w:rsidR="00B714A4" w:rsidRDefault="00B714A4" w:rsidP="00D436FA"/>
        </w:tc>
        <w:tc>
          <w:tcPr>
            <w:tcW w:w="1074" w:type="pct"/>
            <w:gridSpan w:val="2"/>
          </w:tcPr>
          <w:p w:rsidR="00B714A4" w:rsidRDefault="00B714A4" w:rsidP="00D436FA"/>
        </w:tc>
      </w:tr>
      <w:tr w:rsidR="00B714A4" w:rsidTr="00B714A4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4A4" w:rsidRPr="00565585" w:rsidRDefault="00B714A4" w:rsidP="00D436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4A4" w:rsidRPr="00565585" w:rsidRDefault="00B714A4" w:rsidP="00D436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 УК-10, УК-11</w:t>
            </w:r>
          </w:p>
        </w:tc>
      </w:tr>
      <w:tr w:rsidR="00B714A4" w:rsidRPr="007B0AE5" w:rsidTr="00B714A4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4A4" w:rsidRPr="00073A22" w:rsidRDefault="00B714A4" w:rsidP="00B714A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714A4" w:rsidRPr="007B0AE5" w:rsidTr="00B714A4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714A4" w:rsidTr="00B714A4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14A4" w:rsidRPr="007B0AE5" w:rsidTr="00B714A4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714A4" w:rsidRPr="007B0AE5" w:rsidTr="00B714A4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714A4" w:rsidRPr="007B0AE5" w:rsidTr="00B714A4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714A4" w:rsidTr="00B714A4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12389B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714A4" w:rsidTr="00B714A4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DE12A6" w:rsidRDefault="00B714A4" w:rsidP="00D4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714A4" w:rsidTr="00B714A4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DE12A6" w:rsidRDefault="00B714A4" w:rsidP="00D4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714A4" w:rsidTr="00B714A4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893660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714A4" w:rsidRPr="00893660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893660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893660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14A4" w:rsidRPr="007B0AE5" w:rsidTr="00B714A4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714A4" w:rsidTr="00B714A4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14A4" w:rsidTr="00B714A4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DE12A6" w:rsidRDefault="00B714A4" w:rsidP="00D4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714A4" w:rsidRPr="00916DB1" w:rsidRDefault="00B714A4" w:rsidP="00D436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714A4" w:rsidRPr="00916DB1" w:rsidRDefault="00B714A4" w:rsidP="00D436F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4A4" w:rsidTr="00B714A4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DE12A6" w:rsidRDefault="00B714A4" w:rsidP="00D436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714A4" w:rsidRPr="00893660" w:rsidRDefault="00B714A4" w:rsidP="00D436F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4A4" w:rsidTr="00B714A4">
        <w:trPr>
          <w:trHeight w:hRule="exact" w:val="422"/>
        </w:trPr>
        <w:tc>
          <w:tcPr>
            <w:tcW w:w="800" w:type="pct"/>
          </w:tcPr>
          <w:p w:rsidR="00B714A4" w:rsidRDefault="00B714A4" w:rsidP="00D436FA"/>
        </w:tc>
        <w:tc>
          <w:tcPr>
            <w:tcW w:w="1079" w:type="pct"/>
            <w:gridSpan w:val="4"/>
          </w:tcPr>
          <w:p w:rsidR="00B714A4" w:rsidRDefault="00B714A4" w:rsidP="00D436FA"/>
        </w:tc>
        <w:tc>
          <w:tcPr>
            <w:tcW w:w="1063" w:type="pct"/>
            <w:gridSpan w:val="3"/>
          </w:tcPr>
          <w:p w:rsidR="00B714A4" w:rsidRDefault="00B714A4" w:rsidP="00D436FA"/>
        </w:tc>
        <w:tc>
          <w:tcPr>
            <w:tcW w:w="991" w:type="pct"/>
            <w:gridSpan w:val="2"/>
          </w:tcPr>
          <w:p w:rsidR="00B714A4" w:rsidRDefault="00B714A4" w:rsidP="00D436FA"/>
        </w:tc>
        <w:tc>
          <w:tcPr>
            <w:tcW w:w="1068" w:type="pct"/>
          </w:tcPr>
          <w:p w:rsidR="00B714A4" w:rsidRDefault="00B714A4" w:rsidP="00D436FA"/>
        </w:tc>
      </w:tr>
      <w:tr w:rsidR="00B714A4" w:rsidRPr="007B0AE5" w:rsidTr="00B714A4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714A4" w:rsidTr="00B714A4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4A4" w:rsidRPr="007B0AE5" w:rsidTr="00B714A4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14A4" w:rsidRPr="007B0AE5" w:rsidTr="00B714A4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B714A4" w:rsidRPr="007B0AE5" w:rsidTr="00B714A4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14A4" w:rsidRDefault="00B714A4" w:rsidP="00B714A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714A4" w:rsidRPr="00F74CE1" w:rsidRDefault="00B714A4" w:rsidP="00B714A4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45AD">
        <w:rPr>
          <w:rFonts w:ascii="Arial" w:hAnsi="Arial" w:cs="Arial"/>
          <w:color w:val="000000"/>
          <w:sz w:val="20"/>
          <w:szCs w:val="20"/>
        </w:rPr>
        <w:t>УК-1, УК-10, УК-11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</w:t>
      </w:r>
      <w:proofErr w:type="spellEnd"/>
      <w:r w:rsidRPr="00332424">
        <w:rPr>
          <w:rFonts w:ascii="Arial" w:hAnsi="Arial" w:cs="Arial"/>
          <w:color w:val="000000"/>
          <w:sz w:val="20"/>
          <w:szCs w:val="20"/>
        </w:rPr>
        <w:t>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субъекты гражданских правоотношений.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Дисциплина труда.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B714A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B714A4" w:rsidRPr="00332424" w:rsidRDefault="00B714A4" w:rsidP="00B714A4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B714A4" w:rsidRPr="00F74CE1" w:rsidRDefault="00B714A4" w:rsidP="00B714A4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714A4" w:rsidRPr="007B0AE5" w:rsidTr="00D436FA">
        <w:trPr>
          <w:trHeight w:val="399"/>
        </w:trPr>
        <w:tc>
          <w:tcPr>
            <w:tcW w:w="10170" w:type="dxa"/>
            <w:gridSpan w:val="3"/>
            <w:vAlign w:val="center"/>
          </w:tcPr>
          <w:p w:rsidR="00B714A4" w:rsidRPr="00B714A4" w:rsidRDefault="00B714A4" w:rsidP="00D436F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B714A4" w:rsidRPr="007B0AE5" w:rsidTr="00D436FA">
        <w:trPr>
          <w:cantSplit/>
          <w:trHeight w:val="2250"/>
        </w:trPr>
        <w:tc>
          <w:tcPr>
            <w:tcW w:w="3086" w:type="dxa"/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«Уголовно-правовые 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дисциплины»</w:t>
            </w:r>
          </w:p>
          <w:p w:rsidR="00B714A4" w:rsidRPr="00B714A4" w:rsidRDefault="00B714A4" w:rsidP="00D436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B714A4" w:rsidRPr="00B714A4" w:rsidRDefault="00B714A4" w:rsidP="00D436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Default="00B714A4" w:rsidP="00D436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14A4" w:rsidRDefault="00B714A4" w:rsidP="00D436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4A4" w:rsidRPr="00BF093C" w:rsidRDefault="00B714A4" w:rsidP="00D436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714A4" w:rsidRPr="00B714A4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«Правоведение» </w:t>
            </w:r>
          </w:p>
          <w:p w:rsidR="00B714A4" w:rsidRPr="00BF093C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B714A4" w:rsidRPr="00BF093C" w:rsidRDefault="00B714A4" w:rsidP="00D43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B714A4" w:rsidRPr="00B714A4" w:rsidRDefault="00B714A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714A4" w:rsidRPr="00B714A4" w:rsidRDefault="00B714A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714A4" w:rsidRPr="00B714A4" w:rsidRDefault="00B714A4" w:rsidP="00D43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4A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714A4" w:rsidRPr="00BF093C" w:rsidTr="00D436FA">
        <w:trPr>
          <w:trHeight w:val="851"/>
        </w:trPr>
        <w:tc>
          <w:tcPr>
            <w:tcW w:w="10170" w:type="dxa"/>
            <w:gridSpan w:val="3"/>
            <w:vAlign w:val="center"/>
          </w:tcPr>
          <w:p w:rsidR="00B714A4" w:rsidRPr="00B77A79" w:rsidRDefault="00B714A4" w:rsidP="00B714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Понятие, признаки, принципы и функции права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 (</w:t>
            </w:r>
            <w:r w:rsidRPr="00BA45AD">
              <w:rPr>
                <w:rFonts w:ascii="Arial" w:hAnsi="Arial" w:cs="Arial"/>
                <w:color w:val="000000"/>
                <w:sz w:val="20"/>
                <w:szCs w:val="20"/>
              </w:rPr>
              <w:t>УК-1, УК-10, УК-11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714A4" w:rsidRPr="007B0AE5" w:rsidTr="00D436FA">
        <w:trPr>
          <w:trHeight w:val="536"/>
        </w:trPr>
        <w:tc>
          <w:tcPr>
            <w:tcW w:w="10170" w:type="dxa"/>
            <w:gridSpan w:val="3"/>
            <w:vAlign w:val="center"/>
          </w:tcPr>
          <w:p w:rsidR="00B714A4" w:rsidRPr="00B77A79" w:rsidRDefault="00B714A4" w:rsidP="00B714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Обстоятельства, исключающие преступность деяния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r w:rsidRPr="00BA45AD">
              <w:rPr>
                <w:rFonts w:ascii="Arial" w:hAnsi="Arial" w:cs="Arial"/>
                <w:color w:val="000000"/>
                <w:sz w:val="20"/>
                <w:szCs w:val="20"/>
              </w:rPr>
              <w:t>УК-1, УК-10, УК-11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714A4" w:rsidRPr="00BF093C" w:rsidTr="00D436FA">
        <w:trPr>
          <w:trHeight w:val="536"/>
        </w:trPr>
        <w:tc>
          <w:tcPr>
            <w:tcW w:w="10170" w:type="dxa"/>
            <w:gridSpan w:val="3"/>
            <w:vAlign w:val="center"/>
          </w:tcPr>
          <w:p w:rsidR="00B714A4" w:rsidRDefault="00B714A4" w:rsidP="00B714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Федеральная служба по финансовым рынкам (а затем Банк России — </w:t>
            </w:r>
            <w:proofErr w:type="spellStart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мегарегулятор</w:t>
            </w:r>
            <w:proofErr w:type="spellEnd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 xml:space="preserve">) в поисках фактов неправомерного использования </w:t>
            </w:r>
            <w:proofErr w:type="spellStart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инсайдерской</w:t>
            </w:r>
            <w:proofErr w:type="spellEnd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и манипулирования ценами акций ОАО «Проектные инвестиции» и «</w:t>
            </w:r>
            <w:proofErr w:type="spellStart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Номосбанка</w:t>
            </w:r>
            <w:proofErr w:type="spellEnd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» в 2013 г. направила предписание о предоставлении документов к операторам «МТС», «Мегафон» и «</w:t>
            </w:r>
            <w:proofErr w:type="spellStart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Рамблер</w:t>
            </w:r>
            <w:proofErr w:type="spellEnd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 xml:space="preserve">». Предписание содержало требования предоставить </w:t>
            </w:r>
            <w:proofErr w:type="spellStart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>мегарегулятору</w:t>
            </w:r>
            <w:proofErr w:type="spellEnd"/>
            <w:r w:rsidRPr="00812E7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указанный срок следующие сведения: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1) справку, содержащую все сведения, указанные пользователем при регистрации в сервисе электронной почты конкретной учетной записи (за исключением паролей), а также дату регистрации пользователя; 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2) сведения об адресах электронной почты, на которые перенаправлялась корреспонденция, поступавшая пользователю за определенный срок; 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3) сведения об адресах электронной почты, с которых пользователь осуществлял сбор почты за данный период; 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4) сведения об адресах электронной почты, с которыми пользователем осуществлялась переписка за данный период; 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5) список сетевых адресов (диапазон IP-адресов), с которых пользователем совершались соединения при использовании сервиса электронной почты. «</w:t>
            </w:r>
            <w:proofErr w:type="spellStart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Рамблер</w:t>
            </w:r>
            <w:proofErr w:type="spellEnd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предоставил всю информацию, за исключением сведений об адресах электронной почты, с которыми пользователь осуществлял переписку. </w:t>
            </w:r>
          </w:p>
          <w:p w:rsidR="00B714A4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Мегарегулятор</w:t>
            </w:r>
            <w:proofErr w:type="spellEnd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пришел к выводу, что предписание «</w:t>
            </w:r>
            <w:proofErr w:type="spellStart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Рамблером</w:t>
            </w:r>
            <w:proofErr w:type="spellEnd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» не исполнено, и наложил штраф за его неисполнение. «</w:t>
            </w:r>
            <w:proofErr w:type="spellStart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>Рамблер</w:t>
            </w:r>
            <w:proofErr w:type="spellEnd"/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t xml:space="preserve">» оспорил постановление о привлечении к административной ответственности. Законно ли предписание о предоставлении указанной информации? Являются ли </w:t>
            </w:r>
            <w:r w:rsidRPr="007A70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адреса электронной почты (или набранные номера телефонов) тайной связи? Каким будет решение суда?</w:t>
            </w:r>
          </w:p>
          <w:p w:rsidR="00B714A4" w:rsidRPr="000D626F" w:rsidRDefault="00B714A4" w:rsidP="00D436FA">
            <w:pPr>
              <w:pStyle w:val="a5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A45AD">
              <w:rPr>
                <w:rFonts w:ascii="Arial" w:hAnsi="Arial" w:cs="Arial"/>
                <w:color w:val="000000"/>
                <w:sz w:val="20"/>
                <w:szCs w:val="20"/>
              </w:rPr>
              <w:t>УК-1, УК-10, УК-11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714A4" w:rsidRPr="00B714A4" w:rsidRDefault="00B714A4" w:rsidP="00B714A4">
      <w:pPr>
        <w:spacing w:before="120" w:after="0"/>
        <w:rPr>
          <w:b/>
          <w:sz w:val="20"/>
          <w:szCs w:val="20"/>
          <w:lang w:val="ru-RU"/>
        </w:rPr>
      </w:pPr>
      <w:r w:rsidRPr="00B714A4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714A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14A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УК-10, УК-11: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B714A4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B714A4" w:rsidRPr="007B0AE5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7B0AE5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Задание 2</w:t>
      </w:r>
      <w:proofErr w:type="gramStart"/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B714A4">
        <w:rPr>
          <w:rFonts w:ascii="Arial" w:hAnsi="Arial" w:cs="Arial"/>
          <w:color w:val="000000"/>
          <w:sz w:val="20"/>
          <w:szCs w:val="20"/>
          <w:lang w:val="ru-RU"/>
        </w:rPr>
        <w:t>риведите в порядке возрастания юридической силы источники права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B714A4" w:rsidRPr="00B714A4" w:rsidRDefault="00B714A4" w:rsidP="00B714A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Задание 3</w:t>
      </w:r>
      <w:proofErr w:type="gramStart"/>
      <w:r w:rsidRPr="00B714A4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B714A4">
        <w:rPr>
          <w:rFonts w:ascii="Arial" w:hAnsi="Arial" w:cs="Arial"/>
          <w:color w:val="000000"/>
          <w:sz w:val="20"/>
          <w:szCs w:val="20"/>
          <w:lang w:val="ru-RU"/>
        </w:rPr>
        <w:t>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B714A4" w:rsidRPr="00136501" w:rsidTr="00D436FA"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714A4" w:rsidRPr="00136501" w:rsidTr="00D436FA"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714A4" w:rsidRPr="00136501" w:rsidTr="00D436FA"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714A4" w:rsidRPr="00E55509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714A4" w:rsidRDefault="00B714A4" w:rsidP="00B714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4A4" w:rsidRPr="000D626F" w:rsidRDefault="00B714A4" w:rsidP="00B714A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Задание</w:t>
      </w:r>
      <w:proofErr w:type="spellEnd"/>
      <w:r>
        <w:rPr>
          <w:rFonts w:ascii="Arial" w:hAnsi="Arial" w:cs="Arial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Pr="000D626F">
        <w:rPr>
          <w:rFonts w:ascii="Arial" w:hAnsi="Arial" w:cs="Arial"/>
          <w:sz w:val="20"/>
          <w:szCs w:val="20"/>
        </w:rPr>
        <w:t>ставьте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пропущенный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термин</w:t>
      </w:r>
      <w:proofErr w:type="spellEnd"/>
    </w:p>
    <w:p w:rsidR="00B714A4" w:rsidRPr="00B714A4" w:rsidRDefault="00B714A4" w:rsidP="00B714A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14A4">
        <w:rPr>
          <w:rFonts w:ascii="Arial" w:hAnsi="Arial" w:cs="Arial"/>
          <w:sz w:val="20"/>
          <w:szCs w:val="20"/>
          <w:lang w:val="ru-RU"/>
        </w:rPr>
        <w:t>Система установленных государством общеобязательных правил поведения, исполнение которых обеспечивается силой государственного принуждения - это ________________.</w:t>
      </w:r>
    </w:p>
    <w:p w:rsidR="00B714A4" w:rsidRPr="00B714A4" w:rsidRDefault="00B714A4" w:rsidP="00B714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714A4" w:rsidRPr="00B714A4" w:rsidRDefault="00B714A4" w:rsidP="00B714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714A4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714A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714A4" w:rsidRPr="007B0AE5" w:rsidTr="00D436FA">
        <w:trPr>
          <w:trHeight w:hRule="exact" w:val="159"/>
        </w:trPr>
        <w:tc>
          <w:tcPr>
            <w:tcW w:w="2424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714A4" w:rsidRPr="00B714A4" w:rsidRDefault="00B714A4" w:rsidP="00D436FA">
            <w:pPr>
              <w:spacing w:after="0" w:line="240" w:lineRule="auto"/>
              <w:rPr>
                <w:lang w:val="ru-RU"/>
              </w:rPr>
            </w:pPr>
          </w:p>
        </w:tc>
      </w:tr>
      <w:tr w:rsidR="00B714A4" w:rsidTr="00D436F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14A4" w:rsidTr="00D436F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4A4" w:rsidTr="00D436F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4A4" w:rsidTr="00D436F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4A4" w:rsidTr="00D436F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4A4" w:rsidRPr="007B0AE5" w:rsidTr="00D436F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714A4" w:rsidRPr="007B0AE5" w:rsidTr="00D436F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14A4" w:rsidTr="00D436F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14A4" w:rsidTr="00D436F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14A4" w:rsidTr="00D436F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4A4" w:rsidTr="00B714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714A4" w:rsidRPr="007B0AE5" w:rsidTr="00B714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Структура, последовательность и логика ответа. Умение четко, понятно, грамотно и свободно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F828A2" w:rsidRDefault="00B714A4" w:rsidP="00D436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F828A2" w:rsidRDefault="00B714A4" w:rsidP="00D436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F828A2" w:rsidRDefault="00B714A4" w:rsidP="00D436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714A4" w:rsidRPr="007B0AE5" w:rsidTr="00B714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714A4" w:rsidRPr="007B0AE5" w:rsidTr="00B714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714A4">
              <w:rPr>
                <w:sz w:val="20"/>
                <w:szCs w:val="20"/>
                <w:lang w:val="ru-RU"/>
              </w:rPr>
              <w:t xml:space="preserve"> </w:t>
            </w: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14A4" w:rsidRPr="007B0AE5" w:rsidTr="00B714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714A4" w:rsidRPr="007B0AE5" w:rsidTr="00D436F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4A4" w:rsidRPr="00B714A4" w:rsidRDefault="00B714A4" w:rsidP="00D436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714A4" w:rsidRPr="00B714A4" w:rsidRDefault="00B714A4" w:rsidP="00D43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4A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14A4" w:rsidRPr="00B714A4" w:rsidRDefault="00B714A4" w:rsidP="00B714A4">
      <w:pPr>
        <w:rPr>
          <w:lang w:val="ru-RU"/>
        </w:rPr>
      </w:pPr>
    </w:p>
    <w:p w:rsidR="00011048" w:rsidRPr="00B714A4" w:rsidRDefault="00011048">
      <w:pPr>
        <w:rPr>
          <w:lang w:val="ru-RU"/>
        </w:rPr>
      </w:pPr>
    </w:p>
    <w:sectPr w:rsidR="00011048" w:rsidRPr="00B714A4" w:rsidSect="000110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048"/>
    <w:rsid w:val="0002418B"/>
    <w:rsid w:val="001F0BC7"/>
    <w:rsid w:val="004E4B5A"/>
    <w:rsid w:val="007B0AE5"/>
    <w:rsid w:val="00B714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4A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2022-2023_z38_05_01_ЭБ_(ЭПОЭБ)_2022_Фты_plx_Правоведение</dc:title>
  <dc:creator>FastReport.NET</dc:creator>
  <cp:lastModifiedBy>User</cp:lastModifiedBy>
  <cp:revision>3</cp:revision>
  <dcterms:created xsi:type="dcterms:W3CDTF">2022-12-13T20:04:00Z</dcterms:created>
  <dcterms:modified xsi:type="dcterms:W3CDTF">2022-12-14T02:45:00Z</dcterms:modified>
</cp:coreProperties>
</file>