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  <w:gridCol w:w="141"/>
        <w:gridCol w:w="141"/>
      </w:tblGrid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721AA" w:rsidTr="00F47AB9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721AA" w:rsidRPr="00F47AB9" w:rsidTr="00F47AB9">
        <w:trPr>
          <w:gridAfter w:val="2"/>
          <w:wAfter w:w="282" w:type="dxa"/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721AA" w:rsidRPr="00F47AB9" w:rsidTr="00F47AB9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721AA" w:rsidRPr="00F47AB9" w:rsidTr="00F47AB9">
        <w:trPr>
          <w:gridAfter w:val="2"/>
          <w:wAfter w:w="282" w:type="dxa"/>
          <w:trHeight w:hRule="exact" w:val="75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21AA" w:rsidTr="00F47AB9">
        <w:trPr>
          <w:gridAfter w:val="2"/>
          <w:wAfter w:w="282" w:type="dxa"/>
          <w:trHeight w:hRule="exact" w:val="44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A721AA" w:rsidTr="00F47AB9">
        <w:trPr>
          <w:gridAfter w:val="2"/>
          <w:wAfter w:w="282" w:type="dxa"/>
          <w:trHeight w:hRule="exact" w:val="94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197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721AA" w:rsidRDefault="000B239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A721AA" w:rsidTr="00F47AB9">
        <w:trPr>
          <w:gridAfter w:val="2"/>
          <w:wAfter w:w="282" w:type="dxa"/>
          <w:trHeight w:hRule="exact" w:val="635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F47AB9" w:rsidP="00F47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B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B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711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A721AA" w:rsidTr="00F47AB9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A721AA" w:rsidTr="00F47AB9">
        <w:trPr>
          <w:gridAfter w:val="2"/>
          <w:wAfter w:w="282" w:type="dxa"/>
          <w:trHeight w:hRule="exact" w:val="108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RPr="00F47AB9" w:rsidTr="00F47AB9">
        <w:trPr>
          <w:gridAfter w:val="2"/>
          <w:wAfter w:w="282" w:type="dxa"/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0B239A">
              <w:rPr>
                <w:lang w:val="ru-RU"/>
              </w:rPr>
              <w:t xml:space="preserve"> </w:t>
            </w:r>
          </w:p>
        </w:tc>
      </w:tr>
      <w:tr w:rsidR="00A721AA" w:rsidRPr="00F47AB9" w:rsidTr="00F47AB9">
        <w:trPr>
          <w:gridAfter w:val="2"/>
          <w:wAfter w:w="282" w:type="dxa"/>
          <w:trHeight w:hRule="exact" w:val="152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 w:rsidTr="00F47AB9">
        <w:trPr>
          <w:gridAfter w:val="2"/>
          <w:wAfter w:w="282" w:type="dxa"/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.с.</w:t>
            </w:r>
          </w:p>
        </w:tc>
      </w:tr>
      <w:tr w:rsidR="00A721AA" w:rsidRPr="00F47AB9" w:rsidTr="00F47AB9">
        <w:trPr>
          <w:gridAfter w:val="2"/>
          <w:wAfter w:w="282" w:type="dxa"/>
          <w:trHeight w:hRule="exact" w:val="36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 w:rsidTr="00F47AB9">
        <w:trPr>
          <w:gridAfter w:val="2"/>
          <w:wAfter w:w="282" w:type="dxa"/>
          <w:trHeight w:hRule="exact" w:val="446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F47AB9" w:rsidRPr="00F47AB9" w:rsidTr="00F47AB9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7AB9" w:rsidRPr="00E72244" w:rsidRDefault="00F47AB9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47AB9" w:rsidRPr="00F47AB9" w:rsidTr="00F47AB9">
        <w:trPr>
          <w:trHeight w:hRule="exact" w:val="664"/>
        </w:trPr>
        <w:tc>
          <w:tcPr>
            <w:tcW w:w="1857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</w:tr>
      <w:tr w:rsidR="00F47AB9" w:rsidTr="00F47AB9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7AB9" w:rsidRPr="00E72244" w:rsidRDefault="00F47AB9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47AB9" w:rsidTr="00F47AB9">
        <w:trPr>
          <w:trHeight w:hRule="exact" w:val="59"/>
        </w:trPr>
        <w:tc>
          <w:tcPr>
            <w:tcW w:w="1857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F47AB9" w:rsidRDefault="00F47AB9" w:rsidP="00CF6F20"/>
        </w:tc>
        <w:tc>
          <w:tcPr>
            <w:tcW w:w="575" w:type="dxa"/>
          </w:tcPr>
          <w:p w:rsidR="00F47AB9" w:rsidRDefault="00F47AB9" w:rsidP="00CF6F20"/>
        </w:tc>
        <w:tc>
          <w:tcPr>
            <w:tcW w:w="1290" w:type="dxa"/>
          </w:tcPr>
          <w:p w:rsidR="00F47AB9" w:rsidRDefault="00F47AB9" w:rsidP="00CF6F20"/>
        </w:tc>
        <w:tc>
          <w:tcPr>
            <w:tcW w:w="425" w:type="dxa"/>
          </w:tcPr>
          <w:p w:rsidR="00F47AB9" w:rsidRDefault="00F47AB9" w:rsidP="00CF6F20"/>
        </w:tc>
        <w:tc>
          <w:tcPr>
            <w:tcW w:w="1257" w:type="dxa"/>
          </w:tcPr>
          <w:p w:rsidR="00F47AB9" w:rsidRDefault="00F47AB9" w:rsidP="00CF6F20"/>
        </w:tc>
        <w:tc>
          <w:tcPr>
            <w:tcW w:w="730" w:type="dxa"/>
          </w:tcPr>
          <w:p w:rsidR="00F47AB9" w:rsidRDefault="00F47AB9" w:rsidP="00CF6F20"/>
        </w:tc>
        <w:tc>
          <w:tcPr>
            <w:tcW w:w="579" w:type="dxa"/>
          </w:tcPr>
          <w:p w:rsidR="00F47AB9" w:rsidRDefault="00F47AB9" w:rsidP="00CF6F20"/>
        </w:tc>
        <w:tc>
          <w:tcPr>
            <w:tcW w:w="141" w:type="dxa"/>
          </w:tcPr>
          <w:p w:rsidR="00F47AB9" w:rsidRDefault="00F47AB9" w:rsidP="00CF6F20"/>
        </w:tc>
        <w:tc>
          <w:tcPr>
            <w:tcW w:w="141" w:type="dxa"/>
          </w:tcPr>
          <w:p w:rsidR="00F47AB9" w:rsidRDefault="00F47AB9" w:rsidP="00CF6F20"/>
        </w:tc>
      </w:tr>
      <w:tr w:rsidR="00F47AB9" w:rsidRPr="00F47AB9" w:rsidTr="00F47AB9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AB9" w:rsidRPr="00F47AB9" w:rsidTr="00F47AB9">
        <w:trPr>
          <w:trHeight w:hRule="exact" w:val="184"/>
        </w:trPr>
        <w:tc>
          <w:tcPr>
            <w:tcW w:w="1857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</w:tr>
      <w:tr w:rsidR="00F47AB9" w:rsidRPr="00F47AB9" w:rsidTr="00F47AB9">
        <w:trPr>
          <w:gridAfter w:val="2"/>
          <w:wAfter w:w="282" w:type="dxa"/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AB9" w:rsidRPr="00E72244" w:rsidRDefault="00F47AB9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F47AB9" w:rsidRPr="000B239A" w:rsidRDefault="00F47AB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47AB9" w:rsidRPr="000B239A" w:rsidRDefault="00F47AB9">
            <w:pPr>
              <w:rPr>
                <w:lang w:val="ru-RU"/>
              </w:rPr>
            </w:pPr>
          </w:p>
        </w:tc>
      </w:tr>
      <w:tr w:rsidR="00F47AB9" w:rsidTr="00F47AB9">
        <w:trPr>
          <w:gridAfter w:val="2"/>
          <w:wAfter w:w="282" w:type="dxa"/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AB9" w:rsidRDefault="00F47A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AB9" w:rsidTr="00F47AB9">
        <w:trPr>
          <w:gridAfter w:val="2"/>
          <w:wAfter w:w="282" w:type="dxa"/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AB9" w:rsidRDefault="00F47AB9"/>
        </w:tc>
      </w:tr>
      <w:tr w:rsidR="00F47AB9" w:rsidTr="00F47AB9">
        <w:trPr>
          <w:gridAfter w:val="2"/>
          <w:wAfter w:w="282" w:type="dxa"/>
          <w:trHeight w:hRule="exact" w:val="1646"/>
        </w:trPr>
        <w:tc>
          <w:tcPr>
            <w:tcW w:w="1857" w:type="dxa"/>
          </w:tcPr>
          <w:p w:rsidR="00F47AB9" w:rsidRDefault="00F47AB9"/>
        </w:tc>
        <w:tc>
          <w:tcPr>
            <w:tcW w:w="1969" w:type="dxa"/>
          </w:tcPr>
          <w:p w:rsidR="00F47AB9" w:rsidRDefault="00F47AB9"/>
        </w:tc>
        <w:tc>
          <w:tcPr>
            <w:tcW w:w="16" w:type="dxa"/>
          </w:tcPr>
          <w:p w:rsidR="00F47AB9" w:rsidRDefault="00F47AB9"/>
        </w:tc>
        <w:tc>
          <w:tcPr>
            <w:tcW w:w="1278" w:type="dxa"/>
          </w:tcPr>
          <w:p w:rsidR="00F47AB9" w:rsidRDefault="00F47AB9"/>
        </w:tc>
        <w:tc>
          <w:tcPr>
            <w:tcW w:w="279" w:type="dxa"/>
          </w:tcPr>
          <w:p w:rsidR="00F47AB9" w:rsidRDefault="00F47AB9"/>
        </w:tc>
        <w:tc>
          <w:tcPr>
            <w:tcW w:w="575" w:type="dxa"/>
          </w:tcPr>
          <w:p w:rsidR="00F47AB9" w:rsidRDefault="00F47AB9"/>
        </w:tc>
        <w:tc>
          <w:tcPr>
            <w:tcW w:w="1290" w:type="dxa"/>
          </w:tcPr>
          <w:p w:rsidR="00F47AB9" w:rsidRDefault="00F47AB9"/>
        </w:tc>
        <w:tc>
          <w:tcPr>
            <w:tcW w:w="425" w:type="dxa"/>
          </w:tcPr>
          <w:p w:rsidR="00F47AB9" w:rsidRDefault="00F47AB9"/>
        </w:tc>
        <w:tc>
          <w:tcPr>
            <w:tcW w:w="1257" w:type="dxa"/>
          </w:tcPr>
          <w:p w:rsidR="00F47AB9" w:rsidRDefault="00F47AB9"/>
        </w:tc>
        <w:tc>
          <w:tcPr>
            <w:tcW w:w="730" w:type="dxa"/>
          </w:tcPr>
          <w:p w:rsidR="00F47AB9" w:rsidRDefault="00F47AB9"/>
        </w:tc>
        <w:tc>
          <w:tcPr>
            <w:tcW w:w="579" w:type="dxa"/>
          </w:tcPr>
          <w:p w:rsidR="00F47AB9" w:rsidRDefault="00F47AB9"/>
        </w:tc>
      </w:tr>
      <w:tr w:rsidR="00F47AB9" w:rsidTr="00F47AB9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7AB9" w:rsidRDefault="00F47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47AB9" w:rsidRDefault="00F47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721AA" w:rsidRDefault="000B2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721A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721AA">
        <w:trPr>
          <w:trHeight w:hRule="exact" w:val="402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</w:tr>
      <w:tr w:rsidR="00A721AA">
        <w:trPr>
          <w:trHeight w:hRule="exact" w:val="13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</w:tr>
      <w:tr w:rsidR="00A721AA">
        <w:trPr>
          <w:trHeight w:hRule="exact" w:val="96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1AA" w:rsidRPr="00F47AB9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694"/>
        </w:trPr>
        <w:tc>
          <w:tcPr>
            <w:tcW w:w="2694" w:type="dxa"/>
          </w:tcPr>
          <w:p w:rsidR="00A721AA" w:rsidRDefault="00A721A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21AA" w:rsidRPr="00F47AB9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3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96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1AA" w:rsidRPr="00F47AB9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694"/>
        </w:trPr>
        <w:tc>
          <w:tcPr>
            <w:tcW w:w="2694" w:type="dxa"/>
          </w:tcPr>
          <w:p w:rsidR="00A721AA" w:rsidRDefault="00A721A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21AA" w:rsidRPr="00F47AB9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3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96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1AA" w:rsidRPr="00F47AB9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694"/>
        </w:trPr>
        <w:tc>
          <w:tcPr>
            <w:tcW w:w="2694" w:type="dxa"/>
          </w:tcPr>
          <w:p w:rsidR="00A721AA" w:rsidRDefault="00A721A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21AA" w:rsidRPr="00F47AB9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3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96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1AA" w:rsidRPr="00F47AB9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694"/>
        </w:trPr>
        <w:tc>
          <w:tcPr>
            <w:tcW w:w="2694" w:type="dxa"/>
          </w:tcPr>
          <w:p w:rsidR="00A721AA" w:rsidRDefault="00A721A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721AA" w:rsidRPr="000B239A" w:rsidRDefault="000B239A">
      <w:pPr>
        <w:rPr>
          <w:sz w:val="0"/>
          <w:szCs w:val="0"/>
          <w:lang w:val="ru-RU"/>
        </w:rPr>
      </w:pPr>
      <w:r w:rsidRPr="000B2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8"/>
        <w:gridCol w:w="1829"/>
        <w:gridCol w:w="577"/>
        <w:gridCol w:w="282"/>
        <w:gridCol w:w="142"/>
      </w:tblGrid>
      <w:tr w:rsidR="00A721AA">
        <w:trPr>
          <w:trHeight w:hRule="exact" w:val="277"/>
        </w:trPr>
        <w:tc>
          <w:tcPr>
            <w:tcW w:w="28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1277" w:type="dxa"/>
          </w:tcPr>
          <w:p w:rsidR="00A721AA" w:rsidRDefault="00A721AA"/>
        </w:tc>
        <w:tc>
          <w:tcPr>
            <w:tcW w:w="372" w:type="dxa"/>
          </w:tcPr>
          <w:p w:rsidR="00A721AA" w:rsidRDefault="00A721AA"/>
        </w:tc>
        <w:tc>
          <w:tcPr>
            <w:tcW w:w="339" w:type="dxa"/>
          </w:tcPr>
          <w:p w:rsidR="00A721AA" w:rsidRDefault="00A721AA"/>
        </w:tc>
        <w:tc>
          <w:tcPr>
            <w:tcW w:w="34" w:type="dxa"/>
          </w:tcPr>
          <w:p w:rsidR="00A721AA" w:rsidRDefault="00A721AA"/>
        </w:tc>
        <w:tc>
          <w:tcPr>
            <w:tcW w:w="110" w:type="dxa"/>
          </w:tcPr>
          <w:p w:rsidR="00A721AA" w:rsidRDefault="00A721AA"/>
        </w:tc>
        <w:tc>
          <w:tcPr>
            <w:tcW w:w="263" w:type="dxa"/>
          </w:tcPr>
          <w:p w:rsidR="00A721AA" w:rsidRDefault="00A721AA"/>
        </w:tc>
        <w:tc>
          <w:tcPr>
            <w:tcW w:w="22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109" w:type="dxa"/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721AA" w:rsidRPr="00F47AB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721A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138"/>
        </w:trPr>
        <w:tc>
          <w:tcPr>
            <w:tcW w:w="284" w:type="dxa"/>
          </w:tcPr>
          <w:p w:rsidR="00A721AA" w:rsidRDefault="00A721AA"/>
        </w:tc>
        <w:tc>
          <w:tcPr>
            <w:tcW w:w="1277" w:type="dxa"/>
          </w:tcPr>
          <w:p w:rsidR="00A721AA" w:rsidRDefault="00A721AA"/>
        </w:tc>
        <w:tc>
          <w:tcPr>
            <w:tcW w:w="372" w:type="dxa"/>
          </w:tcPr>
          <w:p w:rsidR="00A721AA" w:rsidRDefault="00A721AA"/>
        </w:tc>
        <w:tc>
          <w:tcPr>
            <w:tcW w:w="339" w:type="dxa"/>
          </w:tcPr>
          <w:p w:rsidR="00A721AA" w:rsidRDefault="00A721AA"/>
        </w:tc>
        <w:tc>
          <w:tcPr>
            <w:tcW w:w="34" w:type="dxa"/>
          </w:tcPr>
          <w:p w:rsidR="00A721AA" w:rsidRDefault="00A721AA"/>
        </w:tc>
        <w:tc>
          <w:tcPr>
            <w:tcW w:w="110" w:type="dxa"/>
          </w:tcPr>
          <w:p w:rsidR="00A721AA" w:rsidRDefault="00A721AA"/>
        </w:tc>
        <w:tc>
          <w:tcPr>
            <w:tcW w:w="263" w:type="dxa"/>
          </w:tcPr>
          <w:p w:rsidR="00A721AA" w:rsidRDefault="00A721AA"/>
        </w:tc>
        <w:tc>
          <w:tcPr>
            <w:tcW w:w="22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109" w:type="dxa"/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1277" w:type="dxa"/>
          </w:tcPr>
          <w:p w:rsidR="00A721AA" w:rsidRDefault="00A721AA"/>
        </w:tc>
        <w:tc>
          <w:tcPr>
            <w:tcW w:w="372" w:type="dxa"/>
          </w:tcPr>
          <w:p w:rsidR="00A721AA" w:rsidRDefault="00A721AA"/>
        </w:tc>
        <w:tc>
          <w:tcPr>
            <w:tcW w:w="339" w:type="dxa"/>
          </w:tcPr>
          <w:p w:rsidR="00A721AA" w:rsidRDefault="00A721AA"/>
        </w:tc>
        <w:tc>
          <w:tcPr>
            <w:tcW w:w="34" w:type="dxa"/>
          </w:tcPr>
          <w:p w:rsidR="00A721AA" w:rsidRDefault="00A721AA"/>
        </w:tc>
        <w:tc>
          <w:tcPr>
            <w:tcW w:w="110" w:type="dxa"/>
          </w:tcPr>
          <w:p w:rsidR="00A721AA" w:rsidRDefault="00A721AA"/>
        </w:tc>
        <w:tc>
          <w:tcPr>
            <w:tcW w:w="263" w:type="dxa"/>
          </w:tcPr>
          <w:p w:rsidR="00A721AA" w:rsidRDefault="00A721AA"/>
        </w:tc>
        <w:tc>
          <w:tcPr>
            <w:tcW w:w="22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109" w:type="dxa"/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 w:rsidRPr="00F47AB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138"/>
        </w:trPr>
        <w:tc>
          <w:tcPr>
            <w:tcW w:w="28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A721AA" w:rsidRDefault="00A721AA"/>
        </w:tc>
        <w:tc>
          <w:tcPr>
            <w:tcW w:w="110" w:type="dxa"/>
          </w:tcPr>
          <w:p w:rsidR="00A721AA" w:rsidRDefault="00A721A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</w:tbl>
    <w:p w:rsidR="00A721AA" w:rsidRDefault="000B2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A721AA">
        <w:trPr>
          <w:trHeight w:hRule="exact" w:val="416"/>
        </w:trPr>
        <w:tc>
          <w:tcPr>
            <w:tcW w:w="766" w:type="dxa"/>
          </w:tcPr>
          <w:p w:rsidR="00A721AA" w:rsidRDefault="00A721AA"/>
        </w:tc>
        <w:tc>
          <w:tcPr>
            <w:tcW w:w="937" w:type="dxa"/>
          </w:tcPr>
          <w:p w:rsidR="00A721AA" w:rsidRDefault="00A721AA"/>
        </w:tc>
        <w:tc>
          <w:tcPr>
            <w:tcW w:w="8081" w:type="dxa"/>
          </w:tcPr>
          <w:p w:rsidR="00A721AA" w:rsidRDefault="00A721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стационарная; выездная</w:t>
            </w:r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A721AA" w:rsidRPr="00F47AB9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моделирования электрических цепей с использованием специализированного программного обеспечения. Получение первичных умений и навыков научно-исследовательской деятельности в области электроэнергетики. Изучение теоретического материала по технике безопасности при работе в электроустановках до 1000 В. Приобретение практических навыков оказания доврачебной помощи пострадавшим при работе в электроустановках. Изучение электрических схем на объекте практики и их описания. Изучение силового оборудования (трансформаторы, разрядники, выключатели, разъединители), контрольно-измерительных приборов и аппаратуры. Ознакомление с техническими данными существующего электрооборудования (каталожные данные электрических машин и аппаратов). Монтаж аппаратов защиты и управления в низковольтных цепях переменного тока. Проведение работ по измерению электрических параметров в цепях. Проведение работ по измерению электрических параметров в цепях, в т.ч. сопротивления изоляции, заземления и др.</w:t>
            </w:r>
          </w:p>
        </w:tc>
      </w:tr>
      <w:tr w:rsidR="00A721AA" w:rsidRPr="00F47AB9">
        <w:trPr>
          <w:trHeight w:hRule="exact" w:val="277"/>
        </w:trPr>
        <w:tc>
          <w:tcPr>
            <w:tcW w:w="76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721A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A721AA" w:rsidRPr="00F47AB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A721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721AA" w:rsidRPr="00F47A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Рельсовые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сети железнодорожной связи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основы систем и устройств автоматики и телемеханики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Каналообразующие устройства систем автоматики и телемеханики</w:t>
            </w:r>
          </w:p>
        </w:tc>
      </w:tr>
      <w:tr w:rsidR="00A721AA" w:rsidRPr="00F47A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системы автоматики и телемеханики</w:t>
            </w:r>
          </w:p>
        </w:tc>
      </w:tr>
      <w:tr w:rsidR="00A721AA" w:rsidRPr="00F47AB9">
        <w:trPr>
          <w:trHeight w:hRule="exact" w:val="189"/>
        </w:trPr>
        <w:tc>
          <w:tcPr>
            <w:tcW w:w="76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A721AA" w:rsidRPr="00F47AB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47A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47A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</w:t>
            </w:r>
            <w:proofErr w:type="spellStart"/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прини-мать</w:t>
            </w:r>
            <w:proofErr w:type="spellEnd"/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конкретные решения для ее реализации.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47A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A721AA" w:rsidRPr="00F47AB9">
        <w:trPr>
          <w:trHeight w:hRule="exact" w:val="138"/>
        </w:trPr>
        <w:tc>
          <w:tcPr>
            <w:tcW w:w="76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47A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физики, методы теоретического и экспериментального исследования физических явлений, процессов и объектов.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теоретического и экспериментального исследования физических явлений, процессов и объектов.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47A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методов теоретического и экспериментального исследования физических явлений, процессов и объектов</w:t>
            </w:r>
          </w:p>
        </w:tc>
      </w:tr>
    </w:tbl>
    <w:p w:rsidR="00A721AA" w:rsidRPr="000B239A" w:rsidRDefault="000B239A">
      <w:pPr>
        <w:rPr>
          <w:sz w:val="0"/>
          <w:szCs w:val="0"/>
          <w:lang w:val="ru-RU"/>
        </w:rPr>
      </w:pPr>
      <w:r w:rsidRPr="000B2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24"/>
        <w:gridCol w:w="1612"/>
        <w:gridCol w:w="1581"/>
        <w:gridCol w:w="951"/>
        <w:gridCol w:w="688"/>
        <w:gridCol w:w="1105"/>
        <w:gridCol w:w="710"/>
        <w:gridCol w:w="553"/>
        <w:gridCol w:w="696"/>
        <w:gridCol w:w="404"/>
        <w:gridCol w:w="996"/>
      </w:tblGrid>
      <w:tr w:rsidR="00A721AA">
        <w:trPr>
          <w:trHeight w:hRule="exact" w:val="416"/>
        </w:trPr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21AA" w:rsidRPr="00F47AB9">
        <w:trPr>
          <w:trHeight w:hRule="exact" w:val="24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A721A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721AA">
        <w:trPr>
          <w:trHeight w:hRule="exact" w:val="450"/>
        </w:trPr>
        <w:tc>
          <w:tcPr>
            <w:tcW w:w="710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1702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113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Выдача индивидуальных заданий. Требования по оформлению отчетности и защиты отчетов по практике.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предприятием, правилами внутреннего трудового распорядка.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Л1.5Л2.1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устройств и аппаратуры железнодорожной автоматики, кабелей, кабельной арматуры, элементов радиоэлектронной аппаратуры.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Поиск, сбор, обработка и анализ информации, нормативно-технической документации из различных источников и баз данных. Поиск и анализ информации по технологическим картам по проверке, техническому обслуживанию и ремонту приборов и устройств автоматики и телемеханики  /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отчетом по практике. Подготовка к защите отчета /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38"/>
        </w:trPr>
        <w:tc>
          <w:tcPr>
            <w:tcW w:w="710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1702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113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721AA">
        <w:trPr>
          <w:trHeight w:hRule="exact" w:val="277"/>
        </w:trPr>
        <w:tc>
          <w:tcPr>
            <w:tcW w:w="710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1702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113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21AA" w:rsidRPr="00F47A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A721AA" w:rsidRPr="00F47AB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A721AA" w:rsidRPr="00F47AB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оборудования кабельных линий электропередач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=276287</w:t>
            </w:r>
          </w:p>
        </w:tc>
      </w:tr>
      <w:tr w:rsidR="00A721A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цепей): Учебник для бакалавров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</w:tbl>
    <w:p w:rsidR="00A721AA" w:rsidRDefault="000B2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1837"/>
        <w:gridCol w:w="4956"/>
        <w:gridCol w:w="1694"/>
        <w:gridCol w:w="996"/>
      </w:tblGrid>
      <w:tr w:rsidR="00A721AA">
        <w:trPr>
          <w:trHeight w:hRule="exact" w:val="416"/>
        </w:trPr>
        <w:tc>
          <w:tcPr>
            <w:tcW w:w="710" w:type="dxa"/>
          </w:tcPr>
          <w:p w:rsidR="00A721AA" w:rsidRDefault="00A721AA"/>
        </w:tc>
        <w:tc>
          <w:tcPr>
            <w:tcW w:w="58" w:type="dxa"/>
          </w:tcPr>
          <w:p w:rsidR="00A721AA" w:rsidRDefault="00A721AA"/>
        </w:tc>
        <w:tc>
          <w:tcPr>
            <w:tcW w:w="1929" w:type="dxa"/>
          </w:tcPr>
          <w:p w:rsidR="00A721AA" w:rsidRDefault="00A721AA"/>
        </w:tc>
        <w:tc>
          <w:tcPr>
            <w:tcW w:w="5388" w:type="dxa"/>
          </w:tcPr>
          <w:p w:rsidR="00A721AA" w:rsidRDefault="00A721AA"/>
        </w:tc>
        <w:tc>
          <w:tcPr>
            <w:tcW w:w="1702" w:type="dxa"/>
          </w:tcPr>
          <w:p w:rsidR="00A721AA" w:rsidRDefault="00A721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21AA" w:rsidRPr="00F47AB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Крепышева Л.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Электрооборудование электрических сетей, станций и подстанций: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=493858</w:t>
            </w: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21AA" w:rsidRPr="00F47AB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цепей. Использование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Microwave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электрических цепей 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персональном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компьютре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СОЛОН-Пресс,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=13689</w:t>
            </w:r>
          </w:p>
        </w:tc>
      </w:tr>
      <w:tr w:rsidR="00A721AA" w:rsidRPr="00F47AB9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A721A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Г. Охрана труда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 Г.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Т. Ткачёва, К. Д. Яшин. – Минск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РИПО, 2019. – 337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=599889</w:t>
            </w:r>
          </w:p>
        </w:tc>
      </w:tr>
      <w:tr w:rsidR="00A721A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 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http://gostexpert.ru/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https://www.gost.ru/portal/gost/</w:t>
            </w:r>
          </w:p>
        </w:tc>
      </w:tr>
      <w:tr w:rsidR="00A721AA" w:rsidRPr="00F47AB9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721AA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21AA" w:rsidRPr="00F47AB9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721AA" w:rsidRPr="00F47AB9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721A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721AA" w:rsidRPr="00F47AB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47A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47A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A721AA" w:rsidRPr="00F47AB9">
        <w:trPr>
          <w:trHeight w:hRule="exact" w:val="24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-полностью выполнять задания, предусмотренные программой практики;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-точно и своевременно выполнять все указания руководителя практики;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-нести ответственность за выполнение работы и за ее результаты;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-представить письменный отчет о прохождении практики.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0B239A" w:rsidRDefault="000B239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0B239A" w:rsidRPr="000B239A" w:rsidTr="008C1E40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0B239A" w:rsidRPr="000B239A" w:rsidTr="008C1E40">
        <w:trPr>
          <w:trHeight w:hRule="exact" w:val="277"/>
        </w:trPr>
        <w:tc>
          <w:tcPr>
            <w:tcW w:w="846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</w:tr>
      <w:tr w:rsidR="000B239A" w:rsidRPr="000B239A" w:rsidTr="000B239A">
        <w:trPr>
          <w:trHeight w:hRule="exact" w:val="443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0B239A" w:rsidRPr="000B239A" w:rsidTr="008C1E40">
        <w:trPr>
          <w:trHeight w:hRule="exact" w:val="405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0B239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Электроснабжение железных дорог</w:t>
            </w:r>
          </w:p>
        </w:tc>
      </w:tr>
      <w:tr w:rsidR="000B239A" w:rsidRPr="000B239A" w:rsidTr="008C1E40">
        <w:trPr>
          <w:trHeight w:hRule="exact" w:val="424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Cs/>
                <w:color w:val="000000"/>
                <w:lang w:val="ru-RU" w:eastAsia="ru-RU"/>
              </w:rPr>
              <w:t>Ознакомительная практика</w:t>
            </w:r>
          </w:p>
        </w:tc>
      </w:tr>
      <w:tr w:rsidR="000B239A" w:rsidRPr="000B239A" w:rsidTr="008C1E40">
        <w:trPr>
          <w:trHeight w:hRule="exact" w:val="287"/>
        </w:trPr>
        <w:tc>
          <w:tcPr>
            <w:tcW w:w="846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</w:tr>
      <w:tr w:rsidR="000B239A" w:rsidRPr="000B239A" w:rsidTr="008C1E40">
        <w:trPr>
          <w:trHeight w:hRule="exact" w:val="560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УК-1; ОПК-1</w:t>
            </w:r>
          </w:p>
        </w:tc>
      </w:tr>
      <w:tr w:rsidR="000B239A" w:rsidRPr="00F47AB9" w:rsidTr="000B239A">
        <w:trPr>
          <w:trHeight w:hRule="exact" w:val="30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0B239A" w:rsidRPr="00F47AB9" w:rsidTr="008C1E40">
        <w:trPr>
          <w:trHeight w:hRule="exact" w:val="43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0B239A" w:rsidRPr="000B239A" w:rsidTr="008C1E40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0B239A" w:rsidRPr="00F47AB9" w:rsidTr="008C1E40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0B239A" w:rsidRPr="00F47AB9" w:rsidTr="008C1E4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0B239A" w:rsidRPr="00F47AB9" w:rsidTr="008C1E40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0B239A" w:rsidRPr="000B239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B239A" w:rsidRPr="000B239A" w:rsidRDefault="000B239A" w:rsidP="000B239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0B239A" w:rsidRPr="000B239A" w:rsidRDefault="000B239A" w:rsidP="000B239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0B239A" w:rsidRPr="000B239A" w:rsidRDefault="000B239A" w:rsidP="000B239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0B239A" w:rsidRPr="000B239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B239A" w:rsidRPr="000B239A" w:rsidRDefault="000B239A" w:rsidP="000B239A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B239A" w:rsidRPr="000B239A" w:rsidRDefault="000B239A" w:rsidP="000B239A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0B239A" w:rsidRPr="000B239A" w:rsidRDefault="000B239A" w:rsidP="000B239A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0B239A" w:rsidRPr="000B239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B239A" w:rsidRPr="000B239A" w:rsidRDefault="000B239A" w:rsidP="000B239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0B239A" w:rsidRPr="000B239A" w:rsidRDefault="000B239A" w:rsidP="000B239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0B239A" w:rsidRPr="000B239A" w:rsidRDefault="000B239A" w:rsidP="000B239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0B239A" w:rsidRPr="000B239A" w:rsidRDefault="000B239A" w:rsidP="000B239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0B239A" w:rsidRPr="000B239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B239A" w:rsidRPr="000B239A" w:rsidRDefault="000B239A" w:rsidP="000B239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0B239A" w:rsidRPr="000B239A" w:rsidRDefault="000B239A" w:rsidP="000B239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0B239A" w:rsidRPr="000B239A" w:rsidRDefault="000B239A" w:rsidP="000B239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0B239A" w:rsidRPr="000B239A" w:rsidRDefault="000B239A" w:rsidP="000B239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B239A" w:rsidRPr="00F47AB9" w:rsidTr="008C1E40">
        <w:trPr>
          <w:trHeight w:hRule="exact" w:val="729"/>
        </w:trPr>
        <w:tc>
          <w:tcPr>
            <w:tcW w:w="5000" w:type="pct"/>
            <w:gridSpan w:val="10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0B239A" w:rsidRPr="00F47AB9" w:rsidTr="008C1E40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0B239A" w:rsidRPr="000B239A" w:rsidTr="008C1E40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B239A" w:rsidRPr="00F47AB9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B239A" w:rsidRPr="00F47AB9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B239A" w:rsidRPr="00F47AB9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B239A" w:rsidRPr="000B239A" w:rsidRDefault="000B239A" w:rsidP="000B239A">
      <w:pPr>
        <w:numPr>
          <w:ilvl w:val="0"/>
          <w:numId w:val="5"/>
        </w:numPr>
        <w:spacing w:before="120" w:after="0" w:line="240" w:lineRule="auto"/>
        <w:contextualSpacing/>
        <w:rPr>
          <w:lang w:val="ru-RU" w:eastAsia="ru-RU"/>
        </w:rPr>
      </w:pPr>
      <w:r w:rsidRPr="000B239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0B239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0B239A" w:rsidRPr="000B239A" w:rsidRDefault="000B239A" w:rsidP="000B239A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0B239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0B239A">
        <w:rPr>
          <w:rFonts w:ascii="Arial" w:hAnsi="Arial" w:cs="Arial"/>
          <w:sz w:val="20"/>
          <w:szCs w:val="20"/>
          <w:lang w:val="ru-RU" w:eastAsia="ru-RU"/>
        </w:rPr>
        <w:t>Компетенции: УПК-1, ОПК-1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Каким нормативным актом регламентируется работа на действующих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Кто может быть допущен к самостоятельным работам в должности слесаря-электрика?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Какие группы допуска к работе с электроустановками приняты в Российской Федерации?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Каким образом организуются работы на действующих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ВЛ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Каков порядок оформления наряда на выполнение работ на действующих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требования предъявляются к руководителю работ на действующих электроустановках?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lastRenderedPageBreak/>
        <w:t>Каков порядок выполнения работ по распоряжению?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Какие работы выполняются при подготовке рабочего места на действующих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Какой порядок допуска к работам по наряду и распоряжению?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организуется надзор за работами на электроустановках?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Порядок включения электроустановки после окончания работ.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Порядок отключения действующей электроустановки для выполнения работ?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плакаты вывешивают на отключающие устройства?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проверить, что на электроустановку не подается напряжение?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Порядок установки заземляющего устройства на электроустановках.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Порядок установки заземляющего устройства на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ВЛ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и контактной сети.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Установка ограждения на действующих электроустановках?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Чем опасны электромагнитные поля для обслуживающего персонала?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опасные факторы имеют место при обслуживании электрических машин?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Какие вредные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факторы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воздействующие на окружающую среду проявляются при работе электролизных установок?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поражающие факторы могут иметь место при отключении коммутационной аппаратуры?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Что необходимо выполнить при отключении измерительного трансформатора?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меры предосторожности следует выполнять при обслуживании силовых трансформаторов?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меры предосторожности следует  выполнять при обслуживании аккумуляторных батарей?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меры безопасности необходимо выполнить при входе в высоковольтную камеру электровоза (тепловоза)?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Меры безопасности при ремонтных работах на кабельных линиях?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Меры безопасности при вводе и выводе электровозов из депо.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Меры предосторожности при осмотре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крышевого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оборудования локомотивов.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Требования к переносным осветительным приборам.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требования предъявляются к заземляющим штангам?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Для чего на электрическом транспорте применяются изолирующие штанги?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проверить целостность диэлектрических перчаток?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Сколько классов электроинструмента и ручных электрических машин типу защиты от поражения электрическим током.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Какую последовательность необходимо выполнить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при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освобождение гадавшего от действия электрического тока?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освободить пострадавшего от электрического провода?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Чем объяснить поражающее действие от шагового напряжения. Как правильно покинуть опасную зону?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Признаки поражения электрическим током?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Способы оказания искусственного дыхания?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Кто делает заключение о смерти пострадавшего при поражении электрическим током?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Каков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o</w:t>
      </w:r>
      <w:proofErr w:type="spellEnd"/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значение смертельного тока для человека?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Основные защитные меры от поражения электрическим током  при прямом прикосновении?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Что такое защитное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зануление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>? В каких электроустановках применяется данная защитная мера?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Основные защитные меры от поражения электрическим током при косвенном прикосновении.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Технические мероприятия, обеспечивающие безопасность   работ в электроустановках? Их последовательность?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Организационные мероприятия, обеспечивающие безопасность работ в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Какова периодичность присвоения группы 1?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Кто проводит присвоение группы 1?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Способы выхода из зоны растекания тока замыкания?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На какие группы подразделяется электротехнический персонал?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Условия подачи напряжения на новую (реконструируемую) электроустановку.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В какие сроки должно проверяться соответствие электрических (технологических) схем (чертежей),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фактическим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эксплуатационным?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С какой целью назначаются ответственный за электрохозяйство организации и его заместитель?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должны проводиться работы в действующих электроустановках?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На кого возлагается ответственность за безопасные условия труда работников?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Какая группа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присваивается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неэлектротехническому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персоналу,  выполняющему работы, при которых может возникнуть опасность поражения электрическим током?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Что следует понимать под верхолазными работами?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Что такое защитное заземление? В каких электроустановках применяется данная мера защиты?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В какие сроки пересматриваются инструкции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>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Чего такое воздушная линия под наведенным напряжением?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электрозащитные средства относятся к основным в ЭУ до 1000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>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 каком условии могут допускаться в электроустановки работники их не обслуживающие?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Кто может быть назначен лицом, ответственным за электрохозяйство и его заместителем на предприятии?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Кто утверждает список работников, имеющих право выполнять оперативные переключения?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 каких напряжениях электроустановок обязательно  выполнение защиты от косвенного прикосновения?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lastRenderedPageBreak/>
        <w:t xml:space="preserve">Проводится ли внеочередная проверка знаний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электробезопастности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в случае внесения изменений и дополнений в действующие правила?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 каких условиях допускается эксплуатация электрооборудования, в числе бытовых электроприборов, подлежащих обязательной сертификации?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Какая должна быть продолжительность стажировки электротехнического персонала?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 какой целью назначаются ответственные за электрохозяйство организации и его заместитель?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Для каких видов проверок знаний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допускается использование контрольно-обучающих машин на базе персональных ЭВМ?</w:t>
      </w:r>
    </w:p>
    <w:p w:rsidR="000B239A" w:rsidRPr="000B239A" w:rsidRDefault="000B239A" w:rsidP="000B239A">
      <w:pPr>
        <w:spacing w:before="120" w:after="0" w:line="240" w:lineRule="auto"/>
        <w:ind w:firstLine="425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Учебная практика студентов проводится как на базе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БАмИЖТ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так и в структурных подразделениях ОАО "РЖД"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 xml:space="preserve"> .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Направление студентов на практику производится в соответствии с графиком учебного процесса. </w:t>
      </w:r>
    </w:p>
    <w:p w:rsidR="000B239A" w:rsidRPr="000B239A" w:rsidRDefault="000B239A" w:rsidP="000B239A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практики. </w:t>
      </w:r>
    </w:p>
    <w:p w:rsidR="000B239A" w:rsidRPr="000B239A" w:rsidRDefault="000B239A" w:rsidP="000B239A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В течение практики студент занимается подготовкой и самоподготовкой. </w:t>
      </w:r>
    </w:p>
    <w:p w:rsidR="000B239A" w:rsidRPr="000B239A" w:rsidRDefault="000B239A" w:rsidP="000B239A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Аттестация по итогам практики проводится на основании результатов защиты отчета по практики.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B239A">
        <w:rPr>
          <w:rFonts w:ascii="Arial" w:hAnsi="Arial" w:cs="Arial"/>
          <w:b/>
          <w:sz w:val="20"/>
          <w:szCs w:val="20"/>
          <w:lang w:val="ru-RU"/>
        </w:rPr>
        <w:t>Обязанности сторон по организации и проведению практики</w:t>
      </w:r>
    </w:p>
    <w:p w:rsidR="000B239A" w:rsidRPr="000B239A" w:rsidRDefault="000B239A" w:rsidP="000B239A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Обязанности руководителя практики</w:t>
      </w:r>
    </w:p>
    <w:p w:rsidR="000B239A" w:rsidRPr="000B239A" w:rsidRDefault="000B239A" w:rsidP="000B239A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Руководителем практики назначаются преподаватель кафедры.</w:t>
      </w:r>
    </w:p>
    <w:p w:rsidR="000B239A" w:rsidRPr="000B239A" w:rsidRDefault="000B239A" w:rsidP="000B239A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Руководитель практики проводят инструктаж студентов об их обязанностях и о порядке прохождения практики.</w:t>
      </w:r>
    </w:p>
    <w:p w:rsidR="000B239A" w:rsidRPr="000B239A" w:rsidRDefault="000B239A" w:rsidP="000B239A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Руководитель практики от вуза осуществляет текущий контроль прохождения студентами практики и выполнение ими правил внутреннего распорядка, консультирует студентов по неясным вопросам, проверяет их посещаемость и оценивает работу практикантов, представляет заведующему кафедрой письменный отчет о проведении практики, дает предложения и замечания по совершенствованию практической подготовки</w:t>
      </w:r>
    </w:p>
    <w:p w:rsidR="000B239A" w:rsidRPr="000B239A" w:rsidRDefault="000B239A" w:rsidP="000B239A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Обязанности студента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Студент практикант обязан: 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Прибыть на учебную практику в установленные сроки.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Овладевать теоретическими знаниями и практическими навыками, в полном объеме и в установленные сроки выполнить программу практики.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Нести ответственность за качественное обучение.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Подчиняться действующим на предприятии (в учреждении, организации, фирме) правилам внутреннего трудового распорядка, правилам проживания в общежитии, соблюдать правила и нормы техники безопасности, производственной санитарии и противопожарной защиты. 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Быть аттестованным по итогам учебной практики в установленные сроки.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B239A">
        <w:rPr>
          <w:rFonts w:ascii="Arial" w:hAnsi="Arial" w:cs="Arial"/>
          <w:b/>
          <w:sz w:val="20"/>
          <w:szCs w:val="20"/>
          <w:lang w:val="ru-RU"/>
        </w:rPr>
        <w:t>Самостоятельная и индивидуальная работа студентов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Самостоятельная работа студентов при прохождении учебной практики проводится в следующих направлениях: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Самостоятельное изучение инструкций по охране труда, ПТЭ и безопасности движения: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Правила технической эксплуатации железных дорог Российской Федерации (утверждены приказом Минтранса России 21.12.2010 г. №286)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Инструкция по технической эксплуатации устройств и систем сигнализации, централизации и блокировки (СЦБ) (утверждена распоряжением ОАО «РЖД» 30.12.2015 г. №3168р)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Инструкция по обеспечению безопасности движения поездов при технической эксплуатации устройств и систем СЦБ (утверждена распоряжением ОАО «РЖД» 20.09.2011 г. №2055р)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Правила устройства электроустановок. Разделы 1, 6, 7. 7-е изд. </w:t>
      </w:r>
      <w:hyperlink r:id="rId6" w:history="1">
        <w:r w:rsidRPr="000B239A">
          <w:rPr>
            <w:rFonts w:ascii="Arial" w:hAnsi="Arial" w:cs="Arial"/>
            <w:color w:val="0000FF" w:themeColor="hyperlink"/>
            <w:sz w:val="20"/>
            <w:u w:val="single"/>
            <w:lang w:val="ru-RU"/>
          </w:rPr>
          <w:t>http://www.consultant.ru/document/cons_doc_LAW_98464/</w:t>
        </w:r>
      </w:hyperlink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Инструкция по безопасности при эксплуатации электроустановок тяговых подстанций и районов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электроснабжения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железных дорог утверждена  ОАО «РЖД» 12.06.2017 № 1105р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Межотраслевые правила по охране труда (правила безопасности) при эксплуатации электроустановок ПОТ РМ-16-2001 РД 153-34.0-03.150-00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Правила безопасности при эксплуатации контактной сети и устройств электроснабжения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автоблокировки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железных дорог ОАО РЖД. №103 от 16.12.2010 г в последней редакции.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Ознакомление с основным оборудованием и организацией рабочего места, с организацией ремонта основных приборов и оборудования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устройств системы обеспечения движения поездов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>.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Изучение основных приемов по электромонтажным работам аппаратов защиты и управления в низковольтных цепях переменного тока.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Изучение основных электроприборов и способы измерения параметров рельсовых цепей, кабельных и воздушных линий.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Ознакомление с основным перечнем работ по техническому обслуживанию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устройств систем обеспечения движения поездов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>.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B239A">
        <w:rPr>
          <w:rFonts w:ascii="Arial" w:hAnsi="Arial" w:cs="Arial"/>
          <w:b/>
          <w:sz w:val="20"/>
          <w:szCs w:val="20"/>
          <w:lang w:val="ru-RU"/>
        </w:rPr>
        <w:t xml:space="preserve">Учебная – ознакомительная практика включает в себя следующие этапы: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0B239A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Подготовительный этап: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lastRenderedPageBreak/>
        <w:t xml:space="preserve">1. Получение индивидуального задания.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2. Прохождение инструктажа по охране труда и технике безопасности.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0B239A">
        <w:rPr>
          <w:rFonts w:ascii="Arial" w:hAnsi="Arial" w:cs="Arial"/>
          <w:b/>
          <w:i/>
          <w:sz w:val="20"/>
          <w:szCs w:val="20"/>
          <w:lang w:val="ru-RU"/>
        </w:rPr>
        <w:t>Основной этап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Согласование с руководителем практики рабочего графика (плана) прохождения практики, индивидуального задания, выполняемого в период прохождения практики, содержание практики и планируемые результаты практики. 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Прохождение инструктажа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>, охране труда и пожарной безопасности на рабочем месте, ознакомление с правилами трудового внутреннего распорядка.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Изучение основных электрических параметров устройств электроустановок; технологии проведения электромонтажных работ аппаратов защиты и управления в низковольтных цепях переменного тока, назначения и классификации основных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средств измерений электрических параметров устройств электроустановок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>.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Овладение навыками расчета электрических параметров простейших устройств электроустановок, проведения электромонтажных работ в устройствах электроустановок, проведения измерений электрических параметров устройств электроустановок. 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Выполнение индивидуального задания</w:t>
      </w:r>
    </w:p>
    <w:p w:rsidR="000B239A" w:rsidRPr="000B239A" w:rsidRDefault="000B239A" w:rsidP="000B239A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0B239A">
        <w:rPr>
          <w:rFonts w:ascii="Arial" w:hAnsi="Arial" w:cs="Arial"/>
          <w:b/>
          <w:bCs/>
          <w:sz w:val="20"/>
          <w:szCs w:val="20"/>
          <w:lang w:val="ru-RU"/>
        </w:rPr>
        <w:t>Тематика индивидуальных заданий</w:t>
      </w:r>
    </w:p>
    <w:tbl>
      <w:tblPr>
        <w:tblW w:w="9573" w:type="dxa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7763"/>
      </w:tblGrid>
      <w:tr w:rsidR="000B239A" w:rsidRPr="000B239A" w:rsidTr="008C1E40">
        <w:trPr>
          <w:trHeight w:val="324"/>
          <w:jc w:val="center"/>
        </w:trPr>
        <w:tc>
          <w:tcPr>
            <w:tcW w:w="1810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Номер работы</w:t>
            </w:r>
          </w:p>
        </w:tc>
        <w:tc>
          <w:tcPr>
            <w:tcW w:w="7763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Наименование</w:t>
            </w:r>
          </w:p>
        </w:tc>
      </w:tr>
      <w:tr w:rsidR="000B239A" w:rsidRPr="00F47AB9" w:rsidTr="008C1E40">
        <w:trPr>
          <w:jc w:val="center"/>
        </w:trPr>
        <w:tc>
          <w:tcPr>
            <w:tcW w:w="1810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763" w:type="dxa"/>
            <w:tcMar>
              <w:left w:w="85" w:type="dxa"/>
              <w:right w:w="57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Моделирование электрической цепи с использованием специализированного программного обеспечения</w:t>
            </w:r>
          </w:p>
        </w:tc>
      </w:tr>
      <w:tr w:rsidR="000B239A" w:rsidRPr="00F47AB9" w:rsidTr="008C1E40">
        <w:trPr>
          <w:jc w:val="center"/>
        </w:trPr>
        <w:tc>
          <w:tcPr>
            <w:tcW w:w="1810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763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Измерение электрических параметров в цепях.</w:t>
            </w:r>
          </w:p>
        </w:tc>
      </w:tr>
      <w:tr w:rsidR="000B239A" w:rsidRPr="00F47AB9" w:rsidTr="008C1E40">
        <w:trPr>
          <w:jc w:val="center"/>
        </w:trPr>
        <w:tc>
          <w:tcPr>
            <w:tcW w:w="1810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7763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Монтаж аппаратов защиты и управления в низковольтных цепях переменного тока</w:t>
            </w:r>
          </w:p>
        </w:tc>
      </w:tr>
    </w:tbl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0B239A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Подготовка отчета по практике: </w:t>
      </w:r>
    </w:p>
    <w:p w:rsidR="000B239A" w:rsidRPr="000B239A" w:rsidRDefault="000B239A" w:rsidP="000B239A">
      <w:pPr>
        <w:numPr>
          <w:ilvl w:val="0"/>
          <w:numId w:val="15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Написание отчета по практике, выполнение индивидуального задания.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b/>
          <w:sz w:val="20"/>
          <w:szCs w:val="20"/>
          <w:lang w:val="ru-RU" w:eastAsia="ru-RU"/>
        </w:rPr>
        <w:t>Отчет по практике должен содержать: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титульный лист;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календарный план;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содержание;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введение;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основную часть;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заключение;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список литературы;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приложения.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Титульный лист </w:t>
      </w: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Календарный план</w:t>
      </w: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оформляется в виде таблицы, содержит данные о виде, сроках и месте исполняемых работ.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Содержание отчета</w:t>
      </w: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должно соответствовать программе практики, содержать все необходимые разделы с </w:t>
      </w:r>
      <w:hyperlink r:id="rId7" w:tgtFrame="_blank" w:history="1">
        <w:r w:rsidRPr="000B239A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 w:eastAsia="ru-RU"/>
          </w:rPr>
          <w:t>нумерацией страниц</w:t>
        </w:r>
      </w:hyperlink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 w:rsidRPr="000B239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eastAsia="ru-RU"/>
        </w:rPr>
        <w:t>Введение</w:t>
      </w:r>
      <w:proofErr w:type="spellEnd"/>
      <w:r w:rsidRPr="000B239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содержит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B239A" w:rsidRPr="000B239A" w:rsidRDefault="000B239A" w:rsidP="000B23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сведения о месте прохождения практики;</w:t>
      </w:r>
    </w:p>
    <w:p w:rsidR="000B239A" w:rsidRPr="000B239A" w:rsidRDefault="000B239A" w:rsidP="000B23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объект и предмет исследования (изучения);</w:t>
      </w:r>
    </w:p>
    <w:p w:rsidR="000B239A" w:rsidRPr="000B239A" w:rsidRDefault="000B239A" w:rsidP="000B23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оценку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современного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состояния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вопроса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B239A" w:rsidRPr="000B239A" w:rsidRDefault="000B239A" w:rsidP="000B23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может содержать предполагаемые результаты прохождения практики.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 xml:space="preserve">Основная часть содержит 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состав, назначение, выполняемые функции систем обеспечения движения поездов, оборудования, проходящих техническое обслуживание в профильной организации;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применяемые в профильной организации;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основные функции, характеристики и параметры технических сре</w:t>
      </w:r>
      <w:proofErr w:type="gramStart"/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дств дл</w:t>
      </w:r>
      <w:proofErr w:type="gramEnd"/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я диагностики технического описание технологических процессов по монтажу, эксплуатации, техническому обслуживанию, ремонту и модернизации объектов системы обеспечения движения поездов, выполняемых в профильной организации;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назначение, функциональные возможности и роль автоматизированных рабочих мест должностных лиц предприятия при организации технологических процессов в системах обеспечения движения поездов;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 xml:space="preserve">применение баз данных при организации технологических процессов в системах обеспечения движения поездов; 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описание приобретенных навыков выполнения работ по монтажу, эксплуатации, техническому обслуживанию системы обеспечения движения поездов.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lastRenderedPageBreak/>
        <w:t>Заключение</w:t>
      </w:r>
      <w:r w:rsidRPr="000B239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0B239A">
        <w:rPr>
          <w:rFonts w:ascii="Arial" w:hAnsi="Arial" w:cs="Arial"/>
          <w:sz w:val="20"/>
          <w:szCs w:val="20"/>
        </w:rPr>
        <w:t>Этапы</w:t>
      </w:r>
      <w:proofErr w:type="spellEnd"/>
      <w:r w:rsidRPr="000B23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39A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0B239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B239A">
        <w:rPr>
          <w:rFonts w:ascii="Arial" w:hAnsi="Arial" w:cs="Arial"/>
          <w:sz w:val="20"/>
          <w:szCs w:val="20"/>
        </w:rPr>
        <w:t>оценивания</w:t>
      </w:r>
      <w:proofErr w:type="spellEnd"/>
      <w:r w:rsidRPr="000B23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39A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0B239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  <w:vAlign w:val="center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  <w:vAlign w:val="center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 xml:space="preserve">Оформление дневника </w:t>
            </w:r>
            <w:proofErr w:type="gramStart"/>
            <w:r w:rsidRPr="000B239A">
              <w:rPr>
                <w:rFonts w:ascii="Arial" w:hAnsi="Arial" w:cs="Arial"/>
              </w:rPr>
              <w:t>и(</w:t>
            </w:r>
            <w:proofErr w:type="gramEnd"/>
            <w:r w:rsidRPr="000B239A">
              <w:rPr>
                <w:rFonts w:ascii="Arial" w:hAnsi="Arial" w:cs="Arial"/>
              </w:rPr>
              <w:t>или) отчета</w:t>
            </w:r>
          </w:p>
        </w:tc>
        <w:tc>
          <w:tcPr>
            <w:tcW w:w="3819" w:type="dxa"/>
            <w:vAlign w:val="center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  <w:vAlign w:val="center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0B239A" w:rsidRPr="000B239A" w:rsidRDefault="000B239A" w:rsidP="000B239A">
      <w:pPr>
        <w:spacing w:before="120"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0B239A" w:rsidRPr="000B239A" w:rsidRDefault="000B239A" w:rsidP="000B239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4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. Объем отчета от 5 до 10 стр. текста, 1,5 межстрочный интервал, шрифт № 14, </w:t>
      </w:r>
      <w:proofErr w:type="spellStart"/>
      <w:r w:rsidRPr="000B239A">
        <w:rPr>
          <w:rFonts w:ascii="Arial" w:hAnsi="Arial" w:cs="Arial"/>
          <w:sz w:val="20"/>
          <w:szCs w:val="20"/>
        </w:rPr>
        <w:t>TimesNewRoman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>.</w:t>
      </w:r>
    </w:p>
    <w:p w:rsidR="000B239A" w:rsidRPr="000B239A" w:rsidRDefault="000B239A" w:rsidP="000B239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0B239A" w:rsidRPr="000B239A" w:rsidRDefault="000B239A" w:rsidP="000B239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0B239A" w:rsidRPr="000B239A" w:rsidRDefault="000B239A" w:rsidP="000B239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представить доклад, содержащий основные положения отчета; 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показать,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показать насколько он овладел технологией проведения работ; 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показать насколько он приобрел практический опыт и знания на конкретном рабочем месте; 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ответить на вопросы преподавателя.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0B239A">
        <w:rPr>
          <w:rFonts w:ascii="Arial" w:hAnsi="Arial" w:cs="Arial"/>
          <w:b/>
          <w:i/>
          <w:sz w:val="20"/>
          <w:szCs w:val="20"/>
          <w:lang w:val="ru-RU"/>
        </w:rPr>
        <w:t>Аттестация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обучающихся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на основе обратной связи и корректировки. 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0B239A" w:rsidRPr="00F47AB9" w:rsidTr="008C1E40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0B23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0B239A" w:rsidRPr="00F47AB9" w:rsidTr="008C1E40">
        <w:trPr>
          <w:trHeight w:hRule="exact" w:val="523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B239A" w:rsidRPr="000B239A" w:rsidTr="008C1E40">
        <w:trPr>
          <w:trHeight w:hRule="exact" w:val="43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0B239A" w:rsidRPr="000B239A" w:rsidTr="008C1E4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B239A" w:rsidRPr="000B239A" w:rsidTr="008C1E4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B239A" w:rsidRPr="000B239A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0B239A" w:rsidRPr="00F47AB9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0B239A" w:rsidRPr="00F47AB9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0B239A" w:rsidRPr="00F47AB9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B239A" w:rsidRPr="00F47AB9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0B239A" w:rsidRPr="00F47AB9" w:rsidTr="008C1E40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B239A" w:rsidRPr="000B239A" w:rsidRDefault="000B239A" w:rsidP="000B239A">
      <w:pPr>
        <w:spacing w:before="120" w:after="0" w:line="240" w:lineRule="auto"/>
        <w:rPr>
          <w:lang w:val="ru-RU" w:eastAsia="ru-RU"/>
        </w:rPr>
      </w:pPr>
    </w:p>
    <w:p w:rsidR="00A721AA" w:rsidRPr="000B239A" w:rsidRDefault="00A721AA">
      <w:pPr>
        <w:rPr>
          <w:lang w:val="ru-RU"/>
        </w:rPr>
      </w:pPr>
    </w:p>
    <w:sectPr w:rsidR="00A721AA" w:rsidRPr="000B239A" w:rsidSect="00A721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054574"/>
    <w:multiLevelType w:val="hybridMultilevel"/>
    <w:tmpl w:val="5D12F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347"/>
    <w:multiLevelType w:val="hybridMultilevel"/>
    <w:tmpl w:val="C646FA2C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16E11"/>
    <w:multiLevelType w:val="hybridMultilevel"/>
    <w:tmpl w:val="B35A0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A5D25"/>
    <w:multiLevelType w:val="hybridMultilevel"/>
    <w:tmpl w:val="5C8A7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02239"/>
    <w:multiLevelType w:val="hybridMultilevel"/>
    <w:tmpl w:val="E2964C04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F1567"/>
    <w:multiLevelType w:val="hybridMultilevel"/>
    <w:tmpl w:val="546C234A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E712A"/>
    <w:multiLevelType w:val="hybridMultilevel"/>
    <w:tmpl w:val="CB840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8EB4B2D"/>
    <w:multiLevelType w:val="hybridMultilevel"/>
    <w:tmpl w:val="75525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604817"/>
    <w:multiLevelType w:val="hybridMultilevel"/>
    <w:tmpl w:val="C8FE42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239A"/>
    <w:rsid w:val="001F0BC7"/>
    <w:rsid w:val="00A6377B"/>
    <w:rsid w:val="00A721AA"/>
    <w:rsid w:val="00D31453"/>
    <w:rsid w:val="00E209E2"/>
    <w:rsid w:val="00F4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99"/>
    <w:rsid w:val="000B239A"/>
    <w:pPr>
      <w:spacing w:before="120"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sach37.com/numeraciya-stranic-v-vor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84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ЭлЖД)_2022_ФТы_plx_Ознакомительная практика</dc:title>
  <dc:creator>FastReport.NET</dc:creator>
  <cp:lastModifiedBy>User</cp:lastModifiedBy>
  <cp:revision>3</cp:revision>
  <dcterms:created xsi:type="dcterms:W3CDTF">2022-12-16T21:07:00Z</dcterms:created>
  <dcterms:modified xsi:type="dcterms:W3CDTF">2022-12-16T21:27:00Z</dcterms:modified>
</cp:coreProperties>
</file>